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b/>
          <w:b/>
        </w:rPr>
      </w:pPr>
      <w:r>
        <w:rPr>
          <w:rFonts w:ascii="Times New Roman" w:hAnsi="Times New Roman"/>
          <w:b/>
        </w:rPr>
        <w:t>TERMO DE REFERÊNCIA</w:t>
      </w:r>
    </w:p>
    <w:p>
      <w:pPr>
        <w:pStyle w:val="Normal"/>
        <w:jc w:val="center"/>
        <w:rPr>
          <w:rFonts w:ascii="Times New Roman" w:hAnsi="Times New Roman"/>
          <w:b/>
          <w:b/>
        </w:rPr>
      </w:pPr>
      <w:r>
        <w:rPr>
          <w:rFonts w:ascii="Times New Roman" w:hAnsi="Times New Roman"/>
          <w:b/>
        </w:rPr>
        <w:t>Processo nº 06100130/2023</w:t>
      </w:r>
    </w:p>
    <w:p>
      <w:pPr>
        <w:pStyle w:val="Normal"/>
        <w:jc w:val="center"/>
        <w:rPr>
          <w:rFonts w:ascii="Times New Roman" w:hAnsi="Times New Roman"/>
          <w:b/>
          <w:b/>
        </w:rPr>
      </w:pPr>
      <w:r>
        <w:rPr>
          <w:rFonts w:ascii="Times New Roman" w:hAnsi="Times New Roman"/>
          <w:b/>
        </w:rPr>
        <w:t>UNIDADE REQUISITANTE: CASA CIVIL</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b/>
        </w:rPr>
      </w:pPr>
      <w:r>
        <w:rPr>
          <w:rFonts w:ascii="Times New Roman" w:hAnsi="Times New Roman"/>
          <w:b/>
        </w:rPr>
        <w:t>1. CONDIÇÕES GERAIS DA CONTRATAÇÃO</w:t>
      </w:r>
    </w:p>
    <w:p>
      <w:pPr>
        <w:pStyle w:val="Normal"/>
        <w:jc w:val="both"/>
        <w:rPr>
          <w:rFonts w:ascii="Times New Roman" w:hAnsi="Times New Roman"/>
        </w:rPr>
      </w:pPr>
      <w:r>
        <w:rPr>
          <w:rFonts w:ascii="Times New Roman" w:hAnsi="Times New Roman"/>
        </w:rPr>
        <w:t>1.1. Aquisição de gêneros alimentícios do tipo HORTIFRUTIGRANJEIRO para atender as necessidades de consumo da Casa Civil, de acordo com as especificações e quantitativos previstos neste Termo.</w:t>
      </w:r>
    </w:p>
    <w:p>
      <w:pPr>
        <w:pStyle w:val="Normal"/>
        <w:jc w:val="both"/>
        <w:rPr>
          <w:rFonts w:ascii="Times New Roman" w:hAnsi="Times New Roman"/>
        </w:rPr>
      </w:pPr>
      <w:r>
        <w:rPr>
          <w:rFonts w:ascii="Times New Roman" w:hAnsi="Times New Roman"/>
        </w:rPr>
        <w:t>2.1. Este objeto será realizado através de licitação na modalidade DISPENSA DE LICITAÇÃO, nos termos do Art. 75, inciso III, alínea a, da Lei n° 14.133/2021.</w:t>
      </w:r>
    </w:p>
    <w:p>
      <w:pPr>
        <w:pStyle w:val="Normal"/>
        <w:jc w:val="both"/>
        <w:rPr>
          <w:rFonts w:ascii="Times New Roman" w:hAnsi="Times New Roman"/>
        </w:rPr>
      </w:pPr>
      <w:r>
        <w:rPr>
          <w:rFonts w:ascii="Times New Roman" w:hAnsi="Times New Roman"/>
        </w:rPr>
        <w:t>2.2. Endereço para entrega de documentação: Palácio da Abolição - Avenida Barão de Studart, 505, Meireles – CEP: 60.120-000, Fortaleza/CE – Sala de Reuniões - Térreo.</w:t>
      </w:r>
    </w:p>
    <w:p>
      <w:pPr>
        <w:pStyle w:val="Normal"/>
        <w:jc w:val="both"/>
        <w:rPr>
          <w:rFonts w:ascii="Times New Roman" w:hAnsi="Times New Roman"/>
        </w:rPr>
      </w:pPr>
      <w:r>
        <w:rPr>
          <w:rFonts w:ascii="Times New Roman" w:hAnsi="Times New Roman"/>
        </w:rPr>
        <w:t>2.3. Data e Horário da sessão de recebimento dos envelopes: 25 de julho de 2023, às 10h:00min (Horário de Brasília – DF).</w:t>
      </w:r>
    </w:p>
    <w:p>
      <w:pPr>
        <w:pStyle w:val="Normal"/>
        <w:jc w:val="both"/>
        <w:rPr>
          <w:rFonts w:ascii="Times New Roman" w:hAnsi="Times New Roman"/>
        </w:rPr>
      </w:pPr>
      <w:r>
        <w:rPr>
          <w:rFonts w:ascii="Times New Roman" w:hAnsi="Times New Roman"/>
        </w:rPr>
        <w:t>2.3.1. Será dado até 15 (quinze) minutos de tolerância para recebimento dos envelopes, não sendo aceito nenhum participante após as 10h:15min (Horário de Brasília – DF).</w:t>
      </w:r>
    </w:p>
    <w:p>
      <w:pPr>
        <w:pStyle w:val="Normal"/>
        <w:jc w:val="both"/>
        <w:rPr>
          <w:rFonts w:ascii="Times New Roman" w:hAnsi="Times New Roman"/>
        </w:rPr>
      </w:pPr>
      <w:r>
        <w:rPr>
          <w:rFonts w:ascii="Times New Roman" w:hAnsi="Times New Roman"/>
        </w:rPr>
        <w:t>2.4. Local de prestação dos serviços: Palácio da Abolição - Avenida Barão de Studart, 505, Meireles – CEP: 60.120-000, Fortaleza/CE.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b/>
        </w:rPr>
      </w:pPr>
      <w:r>
        <w:rPr>
          <w:rFonts w:ascii="Times New Roman" w:hAnsi="Times New Roman"/>
          <w:b/>
        </w:rPr>
        <w:t>1.2. Das especificações e quantitativos</w:t>
      </w:r>
    </w:p>
    <w:tbl>
      <w:tblPr>
        <w:tblW w:w="9067"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688"/>
        <w:gridCol w:w="5687"/>
        <w:gridCol w:w="1700"/>
        <w:gridCol w:w="991"/>
      </w:tblGrid>
      <w:tr>
        <w:trPr>
          <w:trHeight w:val="20" w:hRule="atLeast"/>
        </w:trPr>
        <w:tc>
          <w:tcPr>
            <w:tcW w:w="9066" w:type="dxa"/>
            <w:gridSpan w:val="4"/>
            <w:tcBorders>
              <w:top w:val="single" w:sz="4" w:space="0" w:color="000000"/>
              <w:left w:val="single" w:sz="4" w:space="0" w:color="000000"/>
              <w:bottom w:val="single" w:sz="4" w:space="0" w:color="000000"/>
              <w:right w:val="single" w:sz="4" w:space="0" w:color="000000"/>
            </w:tcBorders>
            <w:shd w:color="auto" w:fill="D0CECE" w:val="clear"/>
            <w:vAlign w:val="center"/>
          </w:tcPr>
          <w:p>
            <w:pPr>
              <w:pStyle w:val="Normal"/>
              <w:widowControl w:val="false"/>
              <w:jc w:val="both"/>
              <w:rPr>
                <w:rFonts w:ascii="Times New Roman" w:hAnsi="Times New Roman"/>
                <w:b/>
                <w:b/>
              </w:rPr>
            </w:pPr>
            <w:r>
              <w:rPr>
                <w:rFonts w:ascii="Times New Roman" w:hAnsi="Times New Roman"/>
                <w:b/>
              </w:rPr>
              <w:t>GRUPO 1</w:t>
            </w:r>
          </w:p>
        </w:tc>
      </w:tr>
      <w:tr>
        <w:trPr>
          <w:trHeight w:val="20" w:hRule="atLeast"/>
        </w:trPr>
        <w:tc>
          <w:tcPr>
            <w:tcW w:w="688" w:type="dxa"/>
            <w:tcBorders>
              <w:left w:val="single" w:sz="4" w:space="0" w:color="000000"/>
              <w:bottom w:val="single" w:sz="4" w:space="0" w:color="000000"/>
              <w:right w:val="single" w:sz="4" w:space="0" w:color="000000"/>
            </w:tcBorders>
            <w:shd w:color="auto" w:fill="D0CECE" w:val="clear"/>
            <w:vAlign w:val="center"/>
          </w:tcPr>
          <w:p>
            <w:pPr>
              <w:pStyle w:val="Normal"/>
              <w:widowControl w:val="false"/>
              <w:jc w:val="center"/>
              <w:rPr>
                <w:rFonts w:ascii="Times New Roman" w:hAnsi="Times New Roman"/>
                <w:b/>
                <w:b/>
              </w:rPr>
            </w:pPr>
            <w:r>
              <w:rPr>
                <w:rFonts w:ascii="Times New Roman" w:hAnsi="Times New Roman"/>
                <w:b/>
              </w:rPr>
              <w:t>Item</w:t>
            </w:r>
          </w:p>
        </w:tc>
        <w:tc>
          <w:tcPr>
            <w:tcW w:w="5687" w:type="dxa"/>
            <w:tcBorders>
              <w:bottom w:val="single" w:sz="4" w:space="0" w:color="000000"/>
              <w:right w:val="single" w:sz="4" w:space="0" w:color="000000"/>
            </w:tcBorders>
            <w:shd w:color="auto" w:fill="D0CECE" w:val="clear"/>
            <w:vAlign w:val="center"/>
          </w:tcPr>
          <w:p>
            <w:pPr>
              <w:pStyle w:val="Normal"/>
              <w:widowControl w:val="false"/>
              <w:jc w:val="both"/>
              <w:rPr>
                <w:rFonts w:ascii="Times New Roman" w:hAnsi="Times New Roman"/>
                <w:b/>
                <w:b/>
              </w:rPr>
            </w:pPr>
            <w:r>
              <w:rPr>
                <w:rFonts w:ascii="Times New Roman" w:hAnsi="Times New Roman"/>
                <w:b/>
              </w:rPr>
              <w:t>Especificação</w:t>
            </w:r>
          </w:p>
        </w:tc>
        <w:tc>
          <w:tcPr>
            <w:tcW w:w="1700" w:type="dxa"/>
            <w:tcBorders>
              <w:bottom w:val="single" w:sz="4" w:space="0" w:color="000000"/>
              <w:right w:val="single" w:sz="4" w:space="0" w:color="000000"/>
            </w:tcBorders>
            <w:shd w:color="auto" w:fill="D0CECE" w:val="clear"/>
            <w:vAlign w:val="center"/>
          </w:tcPr>
          <w:p>
            <w:pPr>
              <w:pStyle w:val="Normal"/>
              <w:widowControl w:val="false"/>
              <w:jc w:val="center"/>
              <w:rPr>
                <w:rFonts w:ascii="Times New Roman" w:hAnsi="Times New Roman"/>
                <w:b/>
                <w:b/>
              </w:rPr>
            </w:pPr>
            <w:r>
              <w:rPr>
                <w:rFonts w:ascii="Times New Roman" w:hAnsi="Times New Roman"/>
                <w:b/>
              </w:rPr>
              <w:t>Unidade de Fornecimento</w:t>
            </w:r>
          </w:p>
        </w:tc>
        <w:tc>
          <w:tcPr>
            <w:tcW w:w="991" w:type="dxa"/>
            <w:tcBorders>
              <w:bottom w:val="single" w:sz="4" w:space="0" w:color="000000"/>
              <w:right w:val="single" w:sz="4" w:space="0" w:color="000000"/>
            </w:tcBorders>
            <w:shd w:color="auto" w:fill="D0CECE" w:val="clear"/>
            <w:vAlign w:val="center"/>
          </w:tcPr>
          <w:p>
            <w:pPr>
              <w:pStyle w:val="Normal"/>
              <w:widowControl w:val="false"/>
              <w:jc w:val="center"/>
              <w:rPr>
                <w:rFonts w:ascii="Times New Roman" w:hAnsi="Times New Roman"/>
                <w:b/>
                <w:b/>
              </w:rPr>
            </w:pPr>
            <w:r>
              <w:rPr>
                <w:rFonts w:ascii="Times New Roman" w:hAnsi="Times New Roman"/>
                <w:b/>
              </w:rPr>
              <w:t>Quant.</w:t>
            </w:r>
          </w:p>
        </w:tc>
      </w:tr>
      <w:tr>
        <w:trPr>
          <w:trHeight w:val="20" w:hRule="atLeast"/>
        </w:trPr>
        <w:tc>
          <w:tcPr>
            <w:tcW w:w="688" w:type="dxa"/>
            <w:tcBorders>
              <w:top w:val="single" w:sz="4" w:space="0" w:color="000000"/>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1</w:t>
            </w:r>
          </w:p>
        </w:tc>
        <w:tc>
          <w:tcPr>
            <w:tcW w:w="5687" w:type="dxa"/>
            <w:tcBorders>
              <w:top w:val="single" w:sz="4" w:space="0" w:color="000000"/>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 xml:space="preserve">Abacate </w:t>
            </w:r>
            <w:r>
              <w:rPr>
                <w:rFonts w:ascii="Times New Roman" w:hAnsi="Times New Roman"/>
              </w:rPr>
              <w:t>fresco, selecionado, integro e firme, coloração verde. Embalada em saco de polietileno, acondicionada em monoblocos de PVC frestados e com encaixe protetor. Unidade fornecedora: Quilograma.</w:t>
            </w:r>
          </w:p>
        </w:tc>
        <w:tc>
          <w:tcPr>
            <w:tcW w:w="1700" w:type="dxa"/>
            <w:tcBorders>
              <w:top w:val="single" w:sz="4" w:space="0" w:color="000000"/>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top w:val="single" w:sz="4" w:space="0" w:color="000000"/>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lang w:eastAsia="pt-BR"/>
              </w:rPr>
            </w:pPr>
            <w:r>
              <w:rPr>
                <w:rFonts w:ascii="Times New Roman" w:hAnsi="Times New Roman"/>
                <w:color w:val="000000"/>
              </w:rPr>
              <w:t>108</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2</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Abacaxi</w:t>
            </w:r>
            <w:r>
              <w:rPr>
                <w:rFonts w:ascii="Times New Roman" w:hAnsi="Times New Roman"/>
              </w:rPr>
              <w:t>, selecionado, tamanho aproximadamente de 18cm sem a coroa, integro e firme. A coroa deve ser verde. Embalada em saco de polietileno, acondicionada em monoblocos de PVC frestados e com encaixe protetor. Unidade fornecedora: Unidade</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Unid</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222</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3</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Abobora</w:t>
            </w:r>
            <w:r>
              <w:rPr>
                <w:rFonts w:ascii="Times New Roman" w:hAnsi="Times New Roman"/>
              </w:rPr>
              <w:t>, selecionada, sem traços de descoloração, integras e firmes. Embalada em saco de polietileno, acondicionada em monoblocos de PVC frestados e com encaixe protetor.Unidade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78</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4</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Abobrinha</w:t>
            </w:r>
            <w:r>
              <w:rPr>
                <w:rFonts w:ascii="Times New Roman" w:hAnsi="Times New Roman"/>
              </w:rPr>
              <w:t>, selecionada, sem traços de descoloração, integras e firmes.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78</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5</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Acelga</w:t>
            </w:r>
            <w:r>
              <w:rPr>
                <w:rFonts w:ascii="Times New Roman" w:hAnsi="Times New Roman"/>
              </w:rPr>
              <w:t xml:space="preserve"> fresca, folhas verdes, sem traços de descoloração, integras e firmes. Isenta de sujidades. Embalada em saco de polietileno, acondicionada em monoblocos de PVC frestados e com encaixe protetor.Unidade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78</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6</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Alecrim</w:t>
            </w:r>
            <w:r>
              <w:rPr>
                <w:rFonts w:ascii="Times New Roman" w:hAnsi="Times New Roman"/>
              </w:rPr>
              <w:t>, isento de sujidades, substâncias terrosas, com grau de evolução completa de tamanho. Embalado em saco de polietileno. Unidade fornecedora: Pacote com 50 gramas</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Pacote com 50 gramas</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48</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7</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Alface americano</w:t>
            </w:r>
            <w:r>
              <w:rPr>
                <w:rFonts w:ascii="Times New Roman" w:hAnsi="Times New Roman"/>
              </w:rPr>
              <w:t>, fresca, folhas verdes, sem traços de descoloração. Embalada em saco de polietileno, acondicionada em monoblocos de PVC frestados e com encaixe protetor.Unidade fornecedora: Unidade.</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Unid</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330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8</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Alface roxa</w:t>
            </w:r>
            <w:r>
              <w:rPr>
                <w:rFonts w:ascii="Times New Roman" w:hAnsi="Times New Roman"/>
              </w:rPr>
              <w:t>, fresca, folhas rochas, sem traços de descoloração. Embalada em saco de polietileno, acondicionada em monoblocos de PVC frestados e com encaixe protetor. Unidade fornecedora: Unidade</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Unid</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264</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9</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Alho granel</w:t>
            </w:r>
            <w:r>
              <w:rPr>
                <w:rFonts w:ascii="Times New Roman" w:hAnsi="Times New Roman"/>
              </w:rPr>
              <w:t>, integro e firme, isento de sujidades com grau de evolução completa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120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10</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Alho poró</w:t>
            </w:r>
            <w:r>
              <w:rPr>
                <w:rFonts w:ascii="Times New Roman" w:hAnsi="Times New Roman"/>
              </w:rPr>
              <w:t>, integro e firme, isento de sujidades. Embalada em saco de polietileno, acondicionada em monoblocos de PVC frestados e com encaixe protetor.Unidade fornecedora: Unidade</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Unid</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60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11</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Ameixa</w:t>
            </w:r>
            <w:r>
              <w:rPr>
                <w:rFonts w:ascii="Times New Roman" w:hAnsi="Times New Roman"/>
              </w:rPr>
              <w:t xml:space="preserve"> fresca, integra e firme, grau de maturação adequado, isenta de sujidades, substâncias terrosa ou corpos estranhos. Deve encontrar-se coberta de um revestimento esbranquiçado natural. Não deve apresentar humidade exterior.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72</w:t>
            </w:r>
          </w:p>
        </w:tc>
      </w:tr>
      <w:tr>
        <w:trPr>
          <w:trHeight w:val="20" w:hRule="atLeast"/>
        </w:trPr>
        <w:tc>
          <w:tcPr>
            <w:tcW w:w="688" w:type="dxa"/>
            <w:tcBorders>
              <w:left w:val="single" w:sz="4" w:space="0" w:color="000000"/>
              <w:bottom w:val="single" w:sz="4" w:space="0" w:color="000000"/>
            </w:tcBorders>
            <w:shd w:color="auto" w:fill="auto"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12</w:t>
            </w:r>
          </w:p>
        </w:tc>
        <w:tc>
          <w:tcPr>
            <w:tcW w:w="5687" w:type="dxa"/>
            <w:tcBorders>
              <w:left w:val="single" w:sz="4" w:space="0" w:color="000000"/>
              <w:bottom w:val="single" w:sz="4" w:space="0" w:color="000000"/>
            </w:tcBorders>
            <w:shd w:color="auto" w:fill="auto"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Aspargo</w:t>
            </w:r>
            <w:r>
              <w:rPr>
                <w:rFonts w:ascii="Times New Roman" w:hAnsi="Times New Roman"/>
              </w:rPr>
              <w:t xml:space="preserve"> fresco, verde, sem partes amarelas, isento de sujidades, substancias terrosas ou corpos estranhos.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auto"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42</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13</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Banana prata</w:t>
            </w:r>
            <w:r>
              <w:rPr>
                <w:rFonts w:ascii="Times New Roman" w:hAnsi="Times New Roman"/>
              </w:rPr>
              <w:t>, fresca integra e firme, isenta de substâncias terrosas, sujidades ou corpos estranhos. Deve ser firme, de cor amarela e sem manchas escuras. O pedúnculo deve ser verde amarelado.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120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14</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Batata doce</w:t>
            </w:r>
            <w:r>
              <w:rPr>
                <w:rFonts w:ascii="Times New Roman" w:hAnsi="Times New Roman"/>
              </w:rPr>
              <w:t>, selecionada, isento de sujidades com grau de evolução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78</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15</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Batata inglesa</w:t>
            </w:r>
            <w:r>
              <w:rPr>
                <w:rFonts w:ascii="Times New Roman" w:hAnsi="Times New Roman"/>
              </w:rPr>
              <w:t>, fresca, selecionada, integra e firme, isenta de sujidades com grau de evolução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252</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16</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Berinjela</w:t>
            </w:r>
            <w:r>
              <w:rPr>
                <w:rFonts w:ascii="Times New Roman" w:hAnsi="Times New Roman"/>
              </w:rPr>
              <w:t>, fresca, selecionada, integra e firme, isenta de sujidades com grau de evolução completa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30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17</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Beterraba</w:t>
            </w:r>
            <w:r>
              <w:rPr>
                <w:rFonts w:ascii="Times New Roman" w:hAnsi="Times New Roman"/>
              </w:rPr>
              <w:t>, fresca, selecionada, integra e firme, isenta de sujidades com grau de evolução completa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42</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18</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Brócolis</w:t>
            </w:r>
            <w:r>
              <w:rPr>
                <w:rFonts w:ascii="Times New Roman" w:hAnsi="Times New Roman"/>
              </w:rPr>
              <w:t>, fresco, selecionado, integro e firme, isenta de sujidades, com grau de evolução completa do tamanho. Embalado em saco de polietileno,acondicionada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42</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19</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Cebola Branca</w:t>
            </w:r>
            <w:r>
              <w:rPr>
                <w:rFonts w:ascii="Times New Roman" w:hAnsi="Times New Roman"/>
              </w:rPr>
              <w:t xml:space="preserve"> fresca, selecionada, integra e firme, isenta de sujidades com grau de evolução completa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180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20</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Cebola Roxa</w:t>
            </w:r>
            <w:r>
              <w:rPr>
                <w:rFonts w:ascii="Times New Roman" w:hAnsi="Times New Roman"/>
              </w:rPr>
              <w:t xml:space="preserve"> fresca, selecionada, integra e firme, grau de evolução completa do tamanho, isento de sujidades.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90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21</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 xml:space="preserve">Cenoura </w:t>
            </w:r>
            <w:r>
              <w:rPr>
                <w:rFonts w:ascii="Times New Roman" w:hAnsi="Times New Roman"/>
              </w:rPr>
              <w:t>amarela crua fresca, selecionada, integra e firme, isenta de sujidades com grau de evolução completa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150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22</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Cheiro verde</w:t>
            </w:r>
            <w:r>
              <w:rPr>
                <w:rFonts w:ascii="Times New Roman" w:hAnsi="Times New Roman"/>
              </w:rPr>
              <w:t>, coentro e cebolinha proporcoes iguais, fresco, cor verde escuro, integra e firme, isenta de sujidades, com grau de evolução completa do tamanho. Embalada em saco de polietileno.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228</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23</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Chuchu</w:t>
            </w:r>
            <w:r>
              <w:rPr>
                <w:rFonts w:ascii="Times New Roman" w:hAnsi="Times New Roman"/>
              </w:rPr>
              <w:t xml:space="preserve"> fresco, selecionado, integro e firme, isento de sujidades com grau de evolução completa do tamanho.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78</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24</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Couve-flor</w:t>
            </w:r>
            <w:r>
              <w:rPr>
                <w:rFonts w:ascii="Times New Roman" w:hAnsi="Times New Roman"/>
              </w:rPr>
              <w:t xml:space="preserve"> fresca, selecionada, integra e firme, isenta de sujidades, com grau de evolução completa do tamanho. Embalada em saco de polietileno, acondicionada em monoblocos de PVC frestados e com encaixe protetor. Unidade fornecedora: Unidade</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Unid</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42</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25</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Couve Tipo Manteiga</w:t>
            </w:r>
            <w:r>
              <w:rPr>
                <w:rFonts w:ascii="Times New Roman" w:hAnsi="Times New Roman"/>
              </w:rPr>
              <w:t>, talo verde ou roxo, inteiros, coloração uniforme e sem manchas bem desenvolvida, firme e intacta, isenta de material terroso e umidade externa anormal, livre de sujidades, parasitas e larvas, sem danos físicos e mecânicos oriundos do manuseio e transporte de acordo com a resolução 12/78 da cnnpa. Unidade fornecedora: Unidade</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Unid</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90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26</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Espinafre</w:t>
            </w:r>
            <w:r>
              <w:rPr>
                <w:rFonts w:ascii="Times New Roman" w:hAnsi="Times New Roman"/>
              </w:rPr>
              <w:t xml:space="preserve"> fresca integra e firme, isenta de sujidades, substâncias terrosas, com garu de evolução completa de tamanho. Embalado em saco de polietileno, acondicionada em monoblocos de PVC frestados e com encaixe protetor. Maço de 200 gramas. Unidade fornecedora: Unidade</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Unid</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24</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27</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Feijão Verde</w:t>
            </w:r>
            <w:r>
              <w:rPr>
                <w:rFonts w:ascii="Times New Roman" w:hAnsi="Times New Roman"/>
              </w:rPr>
              <w:t>, selecionado, grão com coloração verde vibrante, livres de manchas castanhas ou contusões, firme e íntegros, isentos de sujidades, substâncias terrosa ou corpos estranhos.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162</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28</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 xml:space="preserve">Funghi </w:t>
            </w:r>
            <w:r>
              <w:rPr>
                <w:rFonts w:ascii="Times New Roman" w:hAnsi="Times New Roman"/>
              </w:rPr>
              <w:t>fresco, embalagem contendo data de produção, data de validade e informações do fornecedor.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18</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29</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Gengibre</w:t>
            </w:r>
            <w:r>
              <w:rPr>
                <w:rFonts w:ascii="Times New Roman" w:hAnsi="Times New Roman"/>
              </w:rPr>
              <w:t xml:space="preserve"> integra e firme, isenta de sujidades e substâncias terrosas, com evolução completa de tamanho.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18</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30</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Goiaba</w:t>
            </w:r>
            <w:r>
              <w:rPr>
                <w:rFonts w:ascii="Times New Roman" w:hAnsi="Times New Roman"/>
              </w:rPr>
              <w:t xml:space="preserve"> fresca, selecionada, integra e firme, isenta de sujidades, substâncias terrosas ou corpos estranhos. Grau de evolução completa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120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31</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Hortelã</w:t>
            </w:r>
            <w:r>
              <w:rPr>
                <w:rFonts w:ascii="Times New Roman" w:hAnsi="Times New Roman"/>
              </w:rPr>
              <w:t>, isento de sujidades, substâncias terrosas, com grau de evolução completa de tamanho. Embalado em saco de polietileno. Unidade fornecedora: Pacote com 50 gramas</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Pacote com 50 gramas</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48</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32</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 xml:space="preserve">Kiwi </w:t>
            </w:r>
            <w:r>
              <w:rPr>
                <w:rFonts w:ascii="Times New Roman" w:hAnsi="Times New Roman"/>
              </w:rPr>
              <w:t>fresco, selecionado, integro e firme, isento de sujidades, com grau de evolução completa do tamanho.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60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33</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Laranja</w:t>
            </w:r>
            <w:r>
              <w:rPr>
                <w:rFonts w:ascii="Times New Roman" w:hAnsi="Times New Roman"/>
              </w:rPr>
              <w:t xml:space="preserve"> fresca, selecionada, integra e firme, , isenta de sujidades com grau de evolução completa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216</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34</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Limão</w:t>
            </w:r>
            <w:r>
              <w:rPr>
                <w:rFonts w:ascii="Times New Roman" w:hAnsi="Times New Roman"/>
              </w:rPr>
              <w:t xml:space="preserve"> fresco, selecionado, integro e fresco, isento de sujidades, casca lisa e fina, com grau de evolução completa do tamanho. Embalado em saco de polietileno, acondicionada em monoblocos de PVC frestados e com encaixe protetor. Unidadefornecedora: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42</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35</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Limão Siciliano</w:t>
            </w:r>
            <w:r>
              <w:rPr>
                <w:rFonts w:ascii="Times New Roman" w:hAnsi="Times New Roman"/>
              </w:rPr>
              <w:t xml:space="preserve"> selecionado, integro e fresco, isento de sujidades, casca lisa e fina, com grau de evolução completa do tamanho.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30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36</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Maçã nacional</w:t>
            </w:r>
            <w:r>
              <w:rPr>
                <w:rFonts w:ascii="Times New Roman" w:hAnsi="Times New Roman"/>
              </w:rPr>
              <w:t xml:space="preserve"> fresca, integra e firme, isenta de sujidades, com grau de evolução completa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90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37</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Macaxeira</w:t>
            </w:r>
            <w:r>
              <w:rPr>
                <w:rFonts w:ascii="Times New Roman" w:hAnsi="Times New Roman"/>
              </w:rPr>
              <w:t xml:space="preserve"> fresca, selecionada, integra e firme, isenta de sujidades, com grau de evolução completa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90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38</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Mamão formosa</w:t>
            </w:r>
            <w:r>
              <w:rPr>
                <w:rFonts w:ascii="Times New Roman" w:hAnsi="Times New Roman"/>
              </w:rPr>
              <w:t>, fresco, selecionado, integro e firme, grau de maturação adequado, isento de sujidades, com grau de evolução completa do tamanho.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132</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39</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Mamão papaia</w:t>
            </w:r>
            <w:r>
              <w:rPr>
                <w:rFonts w:ascii="Times New Roman" w:hAnsi="Times New Roman"/>
              </w:rPr>
              <w:t>, fresco, selecionado, integro e firme, grau de maturação adequado, isento de sujidades, com grau de evolução completa do tamanho.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90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40</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Manga tommy</w:t>
            </w:r>
            <w:r>
              <w:rPr>
                <w:rFonts w:ascii="Times New Roman" w:hAnsi="Times New Roman"/>
              </w:rPr>
              <w:t xml:space="preserve"> fresca, selecionado, integra e firme, isenta de sujidades, substâncias terrosas ou corpos estranhos. Grau de maturação adequado.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120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41</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Manjericão</w:t>
            </w:r>
            <w:r>
              <w:rPr>
                <w:rFonts w:ascii="Times New Roman" w:hAnsi="Times New Roman"/>
              </w:rPr>
              <w:t>, isento de sujidades, substâncias terrosas, com grau de evolução completa de tamanho. Embalado em saco de polietileno. Unidade fornecedora: Pacote com 50 gramas</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Pacote com 50 gramas</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48</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42</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Maracujá</w:t>
            </w:r>
            <w:r>
              <w:rPr>
                <w:rFonts w:ascii="Times New Roman" w:hAnsi="Times New Roman"/>
              </w:rPr>
              <w:t xml:space="preserve"> fresco, selecionado, integro e firme, isento de sujidades, com garu de evolução completa do tamanho.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120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43</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Melancia</w:t>
            </w:r>
            <w:r>
              <w:rPr>
                <w:rFonts w:ascii="Times New Roman" w:hAnsi="Times New Roman"/>
              </w:rPr>
              <w:t xml:space="preserve"> selecionada, com grau de maturação adequado, isenta de sujidades, com grau de evolução completa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60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44</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Melão espanhol</w:t>
            </w:r>
            <w:r>
              <w:rPr>
                <w:rFonts w:ascii="Times New Roman" w:hAnsi="Times New Roman"/>
              </w:rPr>
              <w:t xml:space="preserve"> fresco, selecionado, integro e firme, grau de maturação adequado, isento de sujidades. Grau de evolução completa do tamanho.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72</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45</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Melão japonês</w:t>
            </w:r>
            <w:r>
              <w:rPr>
                <w:rFonts w:ascii="Times New Roman" w:hAnsi="Times New Roman"/>
              </w:rPr>
              <w:t xml:space="preserve"> fresco, selecionado, integro e firme, grau de maturação adequado, isento de sujidades. Grau de evolução completo do tamanho.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144</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46</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Morango</w:t>
            </w:r>
            <w:r>
              <w:rPr>
                <w:rFonts w:ascii="Times New Roman" w:hAnsi="Times New Roman"/>
              </w:rPr>
              <w:t xml:space="preserve"> fresco, selecionado, integro e firme, grau de maturação adequado, isento de sujidades, substâncias terrosas ou corpos estranhos, grau de evolução completa do tamanho. Embalado em recipiente plástico apropriado, com rotulo indicando: dados do fornecedor, data de embalagem e de validade do produto, peso e dados nutricionais. Unidade de fornecimento: Embalagem com 250 gramas</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Embalagem com 250 gramas</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60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47</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Pepino</w:t>
            </w:r>
            <w:r>
              <w:rPr>
                <w:rFonts w:ascii="Times New Roman" w:hAnsi="Times New Roman"/>
              </w:rPr>
              <w:t xml:space="preserve"> fresco, selecionado, integro e firme, isento de sujidades com grau de evolução completa do tamanho.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30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48</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Pêra</w:t>
            </w:r>
            <w:r>
              <w:rPr>
                <w:rFonts w:ascii="Times New Roman" w:hAnsi="Times New Roman"/>
              </w:rPr>
              <w:t xml:space="preserve"> fresca, selecionada, integra e firme, com grau de maturação adequado, isenta de sujidades, substâncias terrosas ou corpos estranhos. Grau de evolução completa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30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49</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Pimenta biquinho</w:t>
            </w:r>
            <w:r>
              <w:rPr>
                <w:rFonts w:ascii="Times New Roman" w:hAnsi="Times New Roman"/>
              </w:rPr>
              <w:t>, selecionada, integra e firme, grau de maturação adequado, isento de sujidades, substâncias terrosas ou corpos estranhos, com grau de evolução completa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18</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50</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Pimenta de Cheiro</w:t>
            </w:r>
            <w:r>
              <w:rPr>
                <w:rFonts w:ascii="Times New Roman" w:hAnsi="Times New Roman"/>
              </w:rPr>
              <w:t xml:space="preserve"> fresca, selecionada, integra e firme, grau de maturação adequado, isento de sujidades, substâncias terrosas ou corpos estranhos, com grau de evolução completa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24</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51</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Pimenta dedo de moça</w:t>
            </w:r>
            <w:r>
              <w:rPr>
                <w:rFonts w:ascii="Times New Roman" w:hAnsi="Times New Roman"/>
              </w:rPr>
              <w:t>, selecionada, integra e firme, grau de maturação adequado, isento de sujidades, substâncias terrosas ou corpos estranhos, com grau de evolução completa do tamanho. Embalada em saco de polietileno, acondicionada emmonoblocos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18</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52</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Pimentão Amarelo</w:t>
            </w:r>
            <w:r>
              <w:rPr>
                <w:rFonts w:ascii="Times New Roman" w:hAnsi="Times New Roman"/>
              </w:rPr>
              <w:t xml:space="preserve"> fresco, selecionado, integro e firme, grau de maturação adequado, isento de sujidades, substâncias terrosas ou corpos estranhos, com grau de evolução completa do tamanho.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60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53</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Pimentão Verde</w:t>
            </w:r>
            <w:r>
              <w:rPr>
                <w:rFonts w:ascii="Times New Roman" w:hAnsi="Times New Roman"/>
              </w:rPr>
              <w:t xml:space="preserve"> fresco, selecionado, integro e firme, grau de maturação adequado, isento de sujidades, substâncias terrosas ou corpos estranhos, com grau de evolução completa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60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54</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Pimentão Vermelho</w:t>
            </w:r>
            <w:r>
              <w:rPr>
                <w:rFonts w:ascii="Times New Roman" w:hAnsi="Times New Roman"/>
              </w:rPr>
              <w:t xml:space="preserve"> fresco, selecionado, integro e firme, grau de maturação adequado, isento de sujidades, substâncias terrosas ou corpos estranhos, com grau de evolução completa do tamanho.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60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55</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Repolho Branco</w:t>
            </w:r>
            <w:r>
              <w:rPr>
                <w:rFonts w:ascii="Times New Roman" w:hAnsi="Times New Roman"/>
              </w:rPr>
              <w:t xml:space="preserve"> fresco, selecionado, integro e firme, isento de sujidades, substâncias terrosas ou corpos estranhos, com grau de evolução completa do tamanho.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72</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56</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Repolho Roxo</w:t>
            </w:r>
            <w:r>
              <w:rPr>
                <w:rFonts w:ascii="Times New Roman" w:hAnsi="Times New Roman"/>
              </w:rPr>
              <w:t xml:space="preserve"> fresco, integro e firme, isento de sujidades, substâncias terrosas ou corpos estranhos, com grau de evolução completa do tamanho.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60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57</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Rúcula</w:t>
            </w:r>
            <w:r>
              <w:rPr>
                <w:rFonts w:ascii="Times New Roman" w:hAnsi="Times New Roman"/>
              </w:rPr>
              <w:t xml:space="preserve"> fresca, selecionada, folha integra e firme, isenta de sujidades, substâncias terrosas ou corpos estranhos. Grau de evolução completa do tamanho. Embalada em saco de polietileno, acondicionada em monoblocos de PVC frestados e com encaixe protetor. Unidade fornecedora: Unidade</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Unid</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60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58</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Tangerina Importada</w:t>
            </w:r>
            <w:r>
              <w:rPr>
                <w:rFonts w:ascii="Times New Roman" w:hAnsi="Times New Roman"/>
              </w:rPr>
              <w:t xml:space="preserve"> do tipo pokan, selecionada, integra e firme, grau de maturação adequado, isenta de sujidades, substâncias terrosas ou corpos estranhos.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102</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59</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Tomate cereja</w:t>
            </w:r>
            <w:r>
              <w:rPr>
                <w:rFonts w:ascii="Times New Roman" w:hAnsi="Times New Roman"/>
              </w:rPr>
              <w:t xml:space="preserve"> fresco, selecionado, íntegro e firme, grau de maturação adequado, isento de sujidades, substâncias terrosa ou corpos estranhos.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42</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60</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Tomate</w:t>
            </w:r>
            <w:r>
              <w:rPr>
                <w:rFonts w:ascii="Times New Roman" w:hAnsi="Times New Roman"/>
              </w:rPr>
              <w:t xml:space="preserve"> fresco, selecionado, íntegro e firme, grau de maturação adequado, isento de sujidades, substâncias terrosas ou corpos estranhos. Grau de ,evolução completa do tamanho. Embalado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162</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61</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Uva Roxa</w:t>
            </w:r>
            <w:r>
              <w:rPr>
                <w:rFonts w:ascii="Times New Roman" w:hAnsi="Times New Roman"/>
              </w:rPr>
              <w:t xml:space="preserve"> fresca, selecionada, íntegra e firme, grau de maturação adequado, isento de sujidades, substâncias terrosas ou corpos estranhos. Grau de evolução completa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48</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62</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Uva Verde</w:t>
            </w:r>
            <w:r>
              <w:rPr>
                <w:rFonts w:ascii="Times New Roman" w:hAnsi="Times New Roman"/>
              </w:rPr>
              <w:t xml:space="preserve"> fresca, selecionada, íntegra e firme, grau de maturação adequado, isento de sujidades, substâncias terrosas ou corpos estranhos. Grau de evolução completa do tamanho.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60</w:t>
            </w:r>
          </w:p>
        </w:tc>
      </w:tr>
      <w:tr>
        <w:trPr>
          <w:trHeight w:val="20" w:hRule="atLeast"/>
        </w:trPr>
        <w:tc>
          <w:tcPr>
            <w:tcW w:w="688"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63</w:t>
            </w:r>
          </w:p>
        </w:tc>
        <w:tc>
          <w:tcPr>
            <w:tcW w:w="5687"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both"/>
              <w:rPr>
                <w:rFonts w:ascii="Times New Roman" w:hAnsi="Times New Roman"/>
              </w:rPr>
            </w:pPr>
            <w:r>
              <w:rPr>
                <w:rFonts w:ascii="Times New Roman" w:hAnsi="Times New Roman"/>
                <w:b/>
              </w:rPr>
              <w:t>Vagem</w:t>
            </w:r>
            <w:r>
              <w:rPr>
                <w:rFonts w:ascii="Times New Roman" w:hAnsi="Times New Roman"/>
              </w:rPr>
              <w:t xml:space="preserve"> fresca, selecionada, integra e firme, grau de maturação adequado, isenta de sujidades, substâncias terrosas ou corpos estranhos. Embalada em saco de polietileno, acondicionada em monoblocos de PVC frestados e com encaixe protetor. Unidade fornecedora: Quilograma</w:t>
            </w:r>
          </w:p>
        </w:tc>
        <w:tc>
          <w:tcPr>
            <w:tcW w:w="1700" w:type="dxa"/>
            <w:tcBorders>
              <w:left w:val="single" w:sz="4" w:space="0" w:color="000000"/>
              <w:bottom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rPr>
            </w:pPr>
            <w:r>
              <w:rPr>
                <w:rFonts w:ascii="Times New Roman" w:hAnsi="Times New Roman"/>
              </w:rPr>
              <w:t>Kg</w:t>
            </w:r>
          </w:p>
        </w:tc>
        <w:tc>
          <w:tcPr>
            <w:tcW w:w="991" w:type="dxa"/>
            <w:tcBorders>
              <w:left w:val="single" w:sz="4" w:space="0" w:color="000000"/>
              <w:bottom w:val="single" w:sz="4" w:space="0" w:color="000000"/>
              <w:right w:val="single" w:sz="4" w:space="0" w:color="000000"/>
            </w:tcBorders>
            <w:shd w:color="auto" w:fill="FFFFFF" w:val="clear"/>
            <w:tcMar>
              <w:top w:w="55" w:type="dxa"/>
              <w:bottom w:w="55" w:type="dxa"/>
            </w:tcMar>
            <w:vAlign w:val="center"/>
          </w:tcPr>
          <w:p>
            <w:pPr>
              <w:pStyle w:val="Normal"/>
              <w:widowControl w:val="false"/>
              <w:jc w:val="center"/>
              <w:rPr>
                <w:rFonts w:ascii="Times New Roman" w:hAnsi="Times New Roman"/>
                <w:color w:val="000000"/>
              </w:rPr>
            </w:pPr>
            <w:r>
              <w:rPr>
                <w:rFonts w:ascii="Times New Roman" w:hAnsi="Times New Roman"/>
                <w:color w:val="000000"/>
              </w:rPr>
              <w:t>42</w:t>
            </w:r>
          </w:p>
        </w:tc>
      </w:tr>
    </w:tbl>
    <w:p>
      <w:pPr>
        <w:pStyle w:val="Normal"/>
        <w:jc w:val="both"/>
        <w:rPr>
          <w:rFonts w:ascii="Times New Roman" w:hAnsi="Times New Roman"/>
        </w:rPr>
      </w:pPr>
      <w:r>
        <w:rPr>
          <w:rFonts w:ascii="Times New Roman" w:hAnsi="Times New Roman"/>
        </w:rPr>
        <w:t>1.2.1. Havendo divergências entre as especificações deste anexo e as dos sistemas,  prevalecerão as deste anexo.</w:t>
      </w:r>
    </w:p>
    <w:p>
      <w:pPr>
        <w:pStyle w:val="Normal"/>
        <w:jc w:val="both"/>
        <w:rPr>
          <w:rFonts w:ascii="Times New Roman" w:hAnsi="Times New Roman"/>
        </w:rPr>
      </w:pPr>
      <w:r>
        <w:rPr>
          <w:rFonts w:ascii="Times New Roman" w:hAnsi="Times New Roman"/>
        </w:rPr>
        <w:t>1.2.2. O objeto desta contratação não se enquadra como sendo de bem de luxo, conforme Decreto nº 34.450/2021.</w:t>
      </w:r>
    </w:p>
    <w:p>
      <w:pPr>
        <w:pStyle w:val="Normal"/>
        <w:jc w:val="both"/>
        <w:rPr>
          <w:rFonts w:ascii="Times New Roman" w:hAnsi="Times New Roman"/>
        </w:rPr>
      </w:pPr>
      <w:r>
        <w:rPr>
          <w:rFonts w:ascii="Times New Roman" w:hAnsi="Times New Roman"/>
        </w:rPr>
        <w:t>1.2.3. Os bens objeto desta contratação são caracterizados como comuns nos termos do inciso XIII do art. 6º c/c o art. 20 ambos da Lei nº 14.133/2021.</w:t>
      </w:r>
    </w:p>
    <w:p>
      <w:pPr>
        <w:pStyle w:val="Normal"/>
        <w:jc w:val="both"/>
        <w:rPr>
          <w:rFonts w:ascii="Times New Roman" w:hAnsi="Times New Roman"/>
          <w:b/>
          <w:b/>
        </w:rPr>
      </w:pPr>
      <w:r>
        <w:rPr>
          <w:rFonts w:ascii="Times New Roman" w:hAnsi="Times New Roman"/>
          <w:b/>
        </w:rPr>
        <w:t>1.3. DO PRAZO DE VIGÊNCIA E DE EXECUÇÃO</w:t>
      </w:r>
    </w:p>
    <w:p>
      <w:pPr>
        <w:pStyle w:val="Normal"/>
        <w:jc w:val="both"/>
        <w:rPr>
          <w:rFonts w:ascii="Times New Roman" w:hAnsi="Times New Roman"/>
        </w:rPr>
      </w:pPr>
      <w:r>
        <w:rPr>
          <w:rFonts w:ascii="Times New Roman" w:hAnsi="Times New Roman"/>
        </w:rPr>
        <w:t>1.3.1. O prazo de vigência do contrato é de 12 (doze) meses, contado da data de assinatura, na forma do artigo 105 c/c o art. 94 ambos da Lei n° 14.133/2021.</w:t>
      </w:r>
    </w:p>
    <w:p>
      <w:pPr>
        <w:pStyle w:val="Standard"/>
        <w:tabs>
          <w:tab w:val="clear" w:pos="720"/>
          <w:tab w:val="left" w:pos="-2170" w:leader="none"/>
          <w:tab w:val="left" w:pos="1091" w:leader="none"/>
        </w:tabs>
        <w:jc w:val="both"/>
        <w:rPr/>
      </w:pPr>
      <w:r>
        <w:rPr>
          <w:rStyle w:val="Fontepargpadro1"/>
          <w:rFonts w:cs="Arial" w:ascii="Times New Roman" w:hAnsi="Times New Roman"/>
          <w:color w:val="000000"/>
          <w:szCs w:val="24"/>
          <w:shd w:fill="FFFFFF" w:val="clear"/>
        </w:rPr>
        <w:t>12.1.1. O contrato oriundo da presente dispensa de licitação poderá ser rescindido após a conclusão do Pregão Eletrônico de mesmo objeto, cadastrado sob o processo VIPROC nº 06098608/2023.</w:t>
      </w:r>
    </w:p>
    <w:p>
      <w:pPr>
        <w:pStyle w:val="Standard"/>
        <w:tabs>
          <w:tab w:val="clear" w:pos="720"/>
          <w:tab w:val="left" w:pos="1091" w:leader="none"/>
          <w:tab w:val="left" w:pos="5840" w:leader="none"/>
        </w:tabs>
        <w:jc w:val="both"/>
        <w:rPr/>
      </w:pPr>
      <w:r>
        <w:rPr>
          <w:rStyle w:val="Fontepargpadro1"/>
          <w:rFonts w:cs="Verdana" w:ascii="Times New Roman" w:hAnsi="Times New Roman"/>
          <w:szCs w:val="24"/>
        </w:rPr>
        <w:t xml:space="preserve">12.1.2. </w:t>
      </w:r>
      <w:r>
        <w:rPr>
          <w:rStyle w:val="Fontepargpadro1"/>
          <w:rFonts w:cs="Verdana" w:ascii="Times New Roman" w:hAnsi="Times New Roman"/>
          <w:szCs w:val="24"/>
          <w:lang w:val="pt-PT"/>
        </w:rPr>
        <w:t>A public</w:t>
      </w:r>
      <w:r>
        <w:rPr>
          <w:rStyle w:val="Fontepargpadro1"/>
          <w:rFonts w:cs="Verdana" w:ascii="Times New Roman" w:hAnsi="Times New Roman"/>
          <w:color w:val="000000"/>
          <w:szCs w:val="24"/>
          <w:lang w:val="pt-PT"/>
        </w:rPr>
        <w:t>ação resumida do instrumento de contrato dar-se-á na forma do Art. 91 da Lei Federal nº 14.133/2021.</w:t>
      </w:r>
    </w:p>
    <w:p>
      <w:pPr>
        <w:pStyle w:val="Normal"/>
        <w:jc w:val="both"/>
        <w:rPr>
          <w:rFonts w:ascii="Times New Roman" w:hAnsi="Times New Roman"/>
          <w:b/>
          <w:b/>
        </w:rPr>
      </w:pPr>
      <w:r>
        <w:rPr>
          <w:rFonts w:ascii="Times New Roman" w:hAnsi="Times New Roman"/>
          <w:b/>
        </w:rPr>
        <w:t>2. DA DESCRIÇÃO DA NECESSIDADE DA CONTRATAÇÃO</w:t>
      </w:r>
    </w:p>
    <w:p>
      <w:pPr>
        <w:pStyle w:val="Normal"/>
        <w:jc w:val="both"/>
        <w:rPr/>
      </w:pPr>
      <w:r>
        <w:rPr>
          <w:rStyle w:val="Fontepargpadro1"/>
          <w:rFonts w:eastAsia="Arial Unicode MS" w:cs="Arial" w:ascii="Times New Roman" w:hAnsi="Times New Roman"/>
          <w:color w:val="000000"/>
          <w:kern w:val="2"/>
          <w:shd w:fill="FFFFFF" w:val="clear"/>
          <w:lang w:eastAsia="zh-CN" w:bidi="hi-IN"/>
        </w:rPr>
        <w:t>2.1. A presente aquisição justifica-se em razão da necessidade de preparar refeições para suprir as demandas governamentais realizadas na CASA CIVIL e seus Anexos, tais como encontros, reuniões e eventos oficiais do Governador do Estado no cumprimento de ações do interesse público.</w:t>
      </w:r>
    </w:p>
    <w:p>
      <w:pPr>
        <w:pStyle w:val="Normal"/>
        <w:jc w:val="both"/>
        <w:rPr>
          <w:rStyle w:val="Fontepargpadro1"/>
          <w:rFonts w:ascii="Times New Roman" w:hAnsi="Times New Roman" w:eastAsia="Arial Unicode MS" w:cs="Arial"/>
          <w:color w:val="000000"/>
          <w:kern w:val="2"/>
          <w:shd w:fill="FFFFFF" w:val="clear"/>
          <w:lang w:eastAsia="zh-CN" w:bidi="hi-IN"/>
        </w:rPr>
      </w:pPr>
      <w:r>
        <w:rPr>
          <w:rStyle w:val="Fontepargpadro1"/>
          <w:rFonts w:eastAsia="Arial Unicode MS" w:cs="Arial" w:ascii="Times New Roman" w:hAnsi="Times New Roman"/>
          <w:color w:val="000000"/>
          <w:kern w:val="2"/>
          <w:shd w:fill="FFFFFF" w:val="clear"/>
          <w:lang w:eastAsia="zh-CN" w:bidi="hi-IN"/>
        </w:rPr>
        <w:t>2.2. O PE nº 20230010 – CASA CIVIL, cadastrado sob o nº 02309078/2023</w:t>
      </w:r>
      <w:r>
        <w:rPr>
          <w:rStyle w:val="Fontepargpadro1"/>
          <w:rFonts w:eastAsia="Arial Unicode MS"/>
          <w:shd w:fill="FFFFFF" w:val="clear"/>
          <w:lang w:eastAsia="zh-CN" w:bidi="hi-IN"/>
        </w:rPr>
        <w:t xml:space="preserve">, que visava substituir o </w:t>
      </w:r>
      <w:r>
        <w:rPr>
          <w:rStyle w:val="Fontepargpadro1"/>
          <w:rFonts w:eastAsia="Arial Unicode MS" w:cs="Arial" w:ascii="Times New Roman" w:hAnsi="Times New Roman"/>
          <w:color w:val="000000"/>
          <w:kern w:val="2"/>
          <w:shd w:fill="FFFFFF" w:val="clear"/>
          <w:lang w:eastAsia="zh-CN" w:bidi="hi-IN"/>
        </w:rPr>
        <w:t xml:space="preserve">Contrato nº 043/2022, de mesmo objeto desta dispensa, restou fracassado, não havendo tempo hábil para aguardar um novo certame. </w:t>
      </w:r>
    </w:p>
    <w:p>
      <w:pPr>
        <w:pStyle w:val="Normal"/>
        <w:jc w:val="both"/>
        <w:rPr>
          <w:rStyle w:val="Fontepargpadro1"/>
        </w:rPr>
      </w:pPr>
      <w:r>
        <w:rPr>
          <w:rStyle w:val="Fontepargpadro1"/>
          <w:rFonts w:eastAsia="Arial Unicode MS" w:cs="Arial" w:ascii="Times New Roman" w:hAnsi="Times New Roman"/>
          <w:color w:val="000000"/>
          <w:kern w:val="2"/>
          <w:shd w:fill="FFFFFF" w:val="clear"/>
          <w:lang w:eastAsia="zh-CN" w:bidi="hi-IN"/>
        </w:rPr>
        <w:t>2.3. O objeto da contratação está previsto no Plano de Contratações Anual e com as diretrizes de logística sustentável, além de outros instrumentos de planejamento da Administração, definidos em regulamento do Poder Executivo Estadual, conforme art. 6º do Decreto Estadual nº 35.283/2023.</w:t>
      </w:r>
    </w:p>
    <w:p>
      <w:pPr>
        <w:pStyle w:val="Normal"/>
        <w:jc w:val="both"/>
        <w:rPr>
          <w:rFonts w:ascii="Times New Roman" w:hAnsi="Times New Roman"/>
          <w:b/>
          <w:b/>
        </w:rPr>
      </w:pPr>
      <w:r>
        <w:rPr>
          <w:rFonts w:ascii="Times New Roman" w:hAnsi="Times New Roman"/>
          <w:b/>
        </w:rPr>
        <w:t>3. DESCRIÇÃO DA SOLUÇÃO COMO UM TODO CONSIDERADO O CICLO DE VIDA DO OBJETO E ESPECIFICAÇÃO DO PRODUTO</w:t>
      </w:r>
    </w:p>
    <w:p>
      <w:pPr>
        <w:pStyle w:val="Normal"/>
        <w:jc w:val="both"/>
        <w:rPr>
          <w:rFonts w:ascii="Times New Roman" w:hAnsi="Times New Roman"/>
          <w:u w:val="single"/>
        </w:rPr>
      </w:pPr>
      <w:r>
        <w:rPr>
          <w:rFonts w:ascii="Times New Roman" w:hAnsi="Times New Roman"/>
          <w:u w:val="single"/>
        </w:rPr>
        <w:t>3.1. Requisitos necessários e suficientes para o atendimento da necessidade:</w:t>
      </w:r>
    </w:p>
    <w:p>
      <w:pPr>
        <w:pStyle w:val="Normal"/>
        <w:jc w:val="both"/>
        <w:rPr>
          <w:rFonts w:ascii="Times New Roman" w:hAnsi="Times New Roman"/>
        </w:rPr>
      </w:pPr>
      <w:r>
        <w:rPr>
          <w:rFonts w:ascii="Times New Roman" w:hAnsi="Times New Roman"/>
        </w:rPr>
        <w:t>3.1.1. Entregar os produtos acondicionados, obrigatoriamente, em sua embalagem original de forma segura, adequada e resistente. Além disso, os produtos devem estar isentos de substâncias terrosas; sem sujidades ou corpos estranhos aderidos à superfície externa; sem parasitas, larvas ou outros animais, inclusive nas embalagens; sem umidade externa anormal; isentos de odor e sabor estranhos.</w:t>
      </w:r>
    </w:p>
    <w:p>
      <w:pPr>
        <w:pStyle w:val="Normal"/>
        <w:jc w:val="both"/>
        <w:rPr>
          <w:rFonts w:ascii="Times New Roman" w:hAnsi="Times New Roman"/>
        </w:rPr>
      </w:pPr>
      <w:r>
        <w:rPr>
          <w:rFonts w:ascii="Times New Roman" w:hAnsi="Times New Roman"/>
        </w:rPr>
        <w:t>3.1.2. Responsabilizar-se pelas despesas de envio do produto à Casa Civil, sem gerar ônus para a Contratante.</w:t>
      </w:r>
    </w:p>
    <w:p>
      <w:pPr>
        <w:pStyle w:val="Normal"/>
        <w:jc w:val="both"/>
        <w:rPr>
          <w:rFonts w:ascii="Times New Roman" w:hAnsi="Times New Roman"/>
        </w:rPr>
      </w:pPr>
      <w:r>
        <w:rPr>
          <w:rFonts w:ascii="Times New Roman" w:hAnsi="Times New Roman"/>
        </w:rPr>
        <w:t>3.1.3. Respeitar a legislação relativa à disposição final ambientalmente adequada dos resíduos gerados, mitigação dos danos ambientais por meio de medidas condicionantes e de compensação ambiental e outros, conforme previsto em lei.</w:t>
      </w:r>
    </w:p>
    <w:p>
      <w:pPr>
        <w:pStyle w:val="Normal"/>
        <w:jc w:val="both"/>
        <w:rPr>
          <w:rFonts w:ascii="Times New Roman" w:hAnsi="Times New Roman"/>
        </w:rPr>
      </w:pPr>
      <w:r>
        <w:rPr>
          <w:rFonts w:ascii="Times New Roman" w:hAnsi="Times New Roman"/>
        </w:rPr>
        <w:t>31.4. Responsabilizar-se pelos danos causados diretamente à contratante ou a terceiros, decorrentes da sua culpa ou dolo, quando da execução do objeto, não podendo ser arguido para efeito de exclusão ou redução de sua responsabilidade o fato da contratante proceder à fiscalização ou acompanhar a execução contratual.</w:t>
      </w:r>
    </w:p>
    <w:p>
      <w:pPr>
        <w:pStyle w:val="Normal"/>
        <w:jc w:val="both"/>
        <w:rPr>
          <w:rFonts w:ascii="Times New Roman" w:hAnsi="Times New Roman"/>
        </w:rPr>
      </w:pPr>
      <w:r>
        <w:rPr>
          <w:rFonts w:ascii="Times New Roman" w:hAnsi="Times New Roman"/>
        </w:rPr>
        <w:t>3.1.5. Responder por todas as despesas diretas e indiretas que incidam ou venham a incidir sobre a execução do contrato, inclusive as obrigações relativas a salários, previdência social, impostos, encargos sociais e outras providências, respondendo obrigatoriamente pelo fiel cumprimento das leis trabalhistas e específicas de acidentes do trabalho e legislação correlata, aplicáveis ao pessoal empregado na execução contratual.</w:t>
      </w:r>
    </w:p>
    <w:p>
      <w:pPr>
        <w:pStyle w:val="Normal"/>
        <w:jc w:val="both"/>
        <w:rPr>
          <w:rFonts w:ascii="Times New Roman" w:hAnsi="Times New Roman"/>
        </w:rPr>
      </w:pPr>
      <w:r>
        <w:rPr>
          <w:rFonts w:ascii="Times New Roman" w:hAnsi="Times New Roman"/>
        </w:rPr>
        <w:t>3.1.6. Prestar imediatamente as informações e os esclarecimentos que venham a ser solicitados pela contratante, salvo quando implicarem em indagações de caráter técnico, hipótese em que serão respondidas no prazo de 24 (vinte e quatro) horas.</w:t>
      </w:r>
    </w:p>
    <w:p>
      <w:pPr>
        <w:pStyle w:val="Normal"/>
        <w:jc w:val="both"/>
        <w:rPr>
          <w:rFonts w:ascii="Times New Roman" w:hAnsi="Times New Roman"/>
        </w:rPr>
      </w:pPr>
      <w:r>
        <w:rPr>
          <w:rFonts w:ascii="Times New Roman" w:hAnsi="Times New Roman"/>
        </w:rPr>
        <w:t>3.1.7. Substituir ou reparar o objeto contratual que comprovadamente apresente condições de defeito ou em desconformidade com as especificações deste termo, no prazo de 02 (dois) dia(s), contados da sua notificação.</w:t>
      </w:r>
    </w:p>
    <w:p>
      <w:pPr>
        <w:pStyle w:val="Normal"/>
        <w:jc w:val="both"/>
        <w:rPr>
          <w:rFonts w:ascii="Times New Roman" w:hAnsi="Times New Roman"/>
        </w:rPr>
      </w:pPr>
      <w:r>
        <w:rPr>
          <w:rFonts w:ascii="Times New Roman" w:hAnsi="Times New Roman"/>
        </w:rPr>
        <w:t>3.1.8. Cumprir, quando for o caso, as condições de garantia do objeto, responsabilizando-se pelo período oferecido em sua proposta, observando o prazo mínimo exigido pela Administração.</w:t>
      </w:r>
    </w:p>
    <w:p>
      <w:pPr>
        <w:pStyle w:val="Normal"/>
        <w:jc w:val="both"/>
        <w:rPr>
          <w:rFonts w:ascii="Times New Roman" w:hAnsi="Times New Roman"/>
        </w:rPr>
      </w:pPr>
      <w:r>
        <w:rPr>
          <w:rFonts w:ascii="Times New Roman" w:hAnsi="Times New Roman"/>
        </w:rPr>
        <w:t>3.1.9. Providenciar a substituição de qualquer profissional envolvido na execução do objeto contratual, cuja conduta seja considerada indesejável pela fiscalização da contratante.</w:t>
      </w:r>
    </w:p>
    <w:p>
      <w:pPr>
        <w:pStyle w:val="Normal"/>
        <w:jc w:val="both"/>
        <w:rPr>
          <w:rFonts w:ascii="Times New Roman" w:hAnsi="Times New Roman"/>
          <w:u w:val="single"/>
        </w:rPr>
      </w:pPr>
      <w:r>
        <w:rPr>
          <w:rFonts w:ascii="Times New Roman" w:hAnsi="Times New Roman"/>
          <w:u w:val="single"/>
        </w:rPr>
        <w:t>3.2. Requisitos ambientais legais necessários e suficientes para o atendimento da necessidade:</w:t>
      </w:r>
    </w:p>
    <w:p>
      <w:pPr>
        <w:pStyle w:val="Normal"/>
        <w:jc w:val="both"/>
        <w:rPr>
          <w:rFonts w:ascii="Times New Roman" w:hAnsi="Times New Roman"/>
        </w:rPr>
      </w:pPr>
      <w:r>
        <w:rPr>
          <w:rFonts w:ascii="Times New Roman" w:hAnsi="Times New Roman"/>
        </w:rPr>
        <w:t>3.2.1 Lei Estadual nº 16.128, de 14 de outubro de 2016, dispõe sobre a alteração da Lei nº 13.304, de 19 de maio de 2003, que cria e implementa o (Selo Municipal Verde) e amplia a concessão do (prêmio sensibilidade ambiental).</w:t>
      </w:r>
    </w:p>
    <w:p>
      <w:pPr>
        <w:pStyle w:val="Normal"/>
        <w:jc w:val="both"/>
        <w:rPr>
          <w:rFonts w:ascii="Times New Roman" w:hAnsi="Times New Roman"/>
        </w:rPr>
      </w:pPr>
      <w:r>
        <w:rPr>
          <w:rFonts w:ascii="Times New Roman" w:hAnsi="Times New Roman"/>
        </w:rPr>
        <w:t>3.2.2 Lei Estadual nº 16.032, de 20 de junho de 2016, institui a política estadual de resíduos sólidos no âmbito do Estado do Ceará</w:t>
      </w:r>
    </w:p>
    <w:p>
      <w:pPr>
        <w:pStyle w:val="Normal"/>
        <w:jc w:val="both"/>
        <w:rPr>
          <w:rFonts w:ascii="Times New Roman" w:hAnsi="Times New Roman"/>
        </w:rPr>
      </w:pPr>
      <w:r>
        <w:rPr>
          <w:rFonts w:ascii="Times New Roman" w:hAnsi="Times New Roman"/>
        </w:rPr>
        <w:t>3.2.3 Lei Estadual nº 16.002, de 02 de maio de 2016, cria o programa de valorização das espécies vegetais nativas.</w:t>
      </w:r>
    </w:p>
    <w:p>
      <w:pPr>
        <w:pStyle w:val="Normal"/>
        <w:jc w:val="both"/>
        <w:rPr>
          <w:rFonts w:ascii="Times New Roman" w:hAnsi="Times New Roman"/>
        </w:rPr>
      </w:pPr>
      <w:r>
        <w:rPr>
          <w:rFonts w:ascii="Times New Roman" w:hAnsi="Times New Roman"/>
        </w:rPr>
        <w:t>3.2.5 Lei Estadual nº 29.306, de 05 de junho de 2008, que dispões sobre o Índice Municipal de Qualidade de Meio Ambiente.</w:t>
      </w:r>
    </w:p>
    <w:p>
      <w:pPr>
        <w:pStyle w:val="Normal"/>
        <w:jc w:val="both"/>
        <w:rPr>
          <w:rFonts w:ascii="Times New Roman" w:hAnsi="Times New Roman"/>
          <w:u w:val="single"/>
        </w:rPr>
      </w:pPr>
      <w:r>
        <w:rPr>
          <w:rFonts w:ascii="Times New Roman" w:hAnsi="Times New Roman"/>
          <w:u w:val="single"/>
        </w:rPr>
        <w:t>3.3 Requisitos ambientais:</w:t>
      </w:r>
    </w:p>
    <w:p>
      <w:pPr>
        <w:pStyle w:val="Normal"/>
        <w:jc w:val="both"/>
        <w:rPr>
          <w:rFonts w:ascii="Times New Roman" w:hAnsi="Times New Roman"/>
        </w:rPr>
      </w:pPr>
      <w:r>
        <w:rPr>
          <w:rFonts w:ascii="Times New Roman" w:hAnsi="Times New Roman"/>
        </w:rPr>
        <w:t>3.3.1 Os bens devem ser, preferencialmente, acondicionados em embalagem individual adequada, com o menor volume possível, que utilize materiais recicláveis, de forma a garantir a máxima proteção durante o transporte e o armazenamento</w:t>
      </w:r>
    </w:p>
    <w:p>
      <w:pPr>
        <w:pStyle w:val="Normal"/>
        <w:jc w:val="both"/>
        <w:rPr>
          <w:rFonts w:ascii="Times New Roman" w:hAnsi="Times New Roman"/>
        </w:rPr>
      </w:pPr>
      <w:r>
        <w:rPr>
          <w:rFonts w:ascii="Times New Roman" w:hAnsi="Times New Roman"/>
        </w:rPr>
        <w:t>3.3.2 Produtos e agentes de processos físicos, químicos ou biológicos, destinados ao uso nos setores de produção, no armazenamento e beneficiamento de produtos agrícolas, nas pastagens, na proteção de florestas, nativas ou plantadas, e de outros ecossistemas e de ambientes urbanos, hídricos e industriais, cuja finalidade seja alterar a composição da flora ou da fauna, a fim de preservá-las da ação danosa de seres vivos considerados nocivos, bem como as substâncias e produtos empregados como desfolhantes, dessecantes, estimuladores e inibidores de crescimento, conforme Lei Estadual nº 12.228/2002, art. 2º, I</w:t>
      </w:r>
    </w:p>
    <w:p>
      <w:pPr>
        <w:pStyle w:val="Normal"/>
        <w:jc w:val="both"/>
        <w:rPr>
          <w:rFonts w:ascii="Times New Roman" w:hAnsi="Times New Roman"/>
          <w:b/>
          <w:b/>
        </w:rPr>
      </w:pPr>
      <w:r>
        <w:rPr>
          <w:rFonts w:ascii="Times New Roman" w:hAnsi="Times New Roman"/>
          <w:b/>
        </w:rPr>
        <w:t>4. REQUISITOS DA CONTRATAÇÃO</w:t>
      </w:r>
    </w:p>
    <w:p>
      <w:pPr>
        <w:pStyle w:val="Normal"/>
        <w:jc w:val="both"/>
        <w:rPr>
          <w:rFonts w:ascii="Times New Roman" w:hAnsi="Times New Roman"/>
        </w:rPr>
      </w:pPr>
      <w:r>
        <w:rPr>
          <w:rFonts w:ascii="Times New Roman" w:hAnsi="Times New Roman"/>
        </w:rPr>
        <w:t>4.1 Da Sustentabilidade:</w:t>
      </w:r>
    </w:p>
    <w:p>
      <w:pPr>
        <w:pStyle w:val="Normal"/>
        <w:jc w:val="both"/>
        <w:rPr>
          <w:rFonts w:ascii="Times New Roman" w:hAnsi="Times New Roman"/>
        </w:rPr>
      </w:pPr>
      <w:r>
        <w:rPr>
          <w:rFonts w:ascii="Times New Roman" w:hAnsi="Times New Roman"/>
        </w:rPr>
        <w:t>4.1.1. Além dos critérios de sustentabilidade eventualmente inseridos na descrição do objeto, devem ser atendidos os seguintes requisitos:</w:t>
      </w:r>
    </w:p>
    <w:p>
      <w:pPr>
        <w:pStyle w:val="Normal"/>
        <w:jc w:val="both"/>
        <w:rPr>
          <w:rFonts w:ascii="Times New Roman" w:hAnsi="Times New Roman"/>
        </w:rPr>
      </w:pPr>
      <w:r>
        <w:rPr>
          <w:rFonts w:ascii="Times New Roman" w:hAnsi="Times New Roman"/>
        </w:rPr>
        <w:t>a) Os bens devem ser, preferencialmente, acondicionados em embalagem individual adequada, com o menor volume possível, que utilize materiais recicláveis, de forma a garantir a máxima proteção durante o transporte e o armazenamento</w:t>
      </w:r>
    </w:p>
    <w:p>
      <w:pPr>
        <w:pStyle w:val="Normal"/>
        <w:jc w:val="both"/>
        <w:rPr>
          <w:rFonts w:ascii="Times New Roman" w:hAnsi="Times New Roman"/>
        </w:rPr>
      </w:pPr>
      <w:r>
        <w:rPr>
          <w:rFonts w:ascii="Times New Roman" w:hAnsi="Times New Roman"/>
        </w:rPr>
        <w:t>b) Produtos e agentes de processos físicos, químicos ou biológicos, destinados ao uso nos setores de produção, no armazenamento e beneficiamento de produtos agrícolas, nas pastagens, na proteção de florestas, nativas ou plantadas, e de outros ecossistemas e de ambientes urbanos, hídricos e industriais, cuja finalidade seja alterar a composição da flora ou da fauna, a fim de preservá-las da ação danosa de seres vivos considerados nocivos, bem como as substâncias e produtos empregados como desfolhantes, dessecantes, estimuladores e inibidores de crescimento, conforme Lei Estadual nº 12.228/2002, art. 2º, I.</w:t>
      </w:r>
    </w:p>
    <w:p>
      <w:pPr>
        <w:pStyle w:val="Normal"/>
        <w:jc w:val="both"/>
        <w:rPr>
          <w:rFonts w:ascii="Times New Roman" w:hAnsi="Times New Roman"/>
        </w:rPr>
      </w:pPr>
      <w:r>
        <w:rPr>
          <w:rFonts w:ascii="Times New Roman" w:hAnsi="Times New Roman"/>
        </w:rPr>
        <w:t>4.2. Das amostras:</w:t>
      </w:r>
    </w:p>
    <w:p>
      <w:pPr>
        <w:pStyle w:val="Normal"/>
        <w:jc w:val="both"/>
        <w:rPr>
          <w:rFonts w:ascii="Times New Roman" w:hAnsi="Times New Roman"/>
        </w:rPr>
      </w:pPr>
      <w:r>
        <w:rPr>
          <w:rFonts w:ascii="Times New Roman" w:hAnsi="Times New Roman"/>
        </w:rPr>
        <w:t>4.2.1. Havendo o aceite da proposta quanto ao valor, o interessado classificado provisoriamente em primeiro lugar deverá apresentar amostra, que terá prazo, local e horário de sua realização divulgados por mensagem no sistema, cuja presença será facultada a todos os interessados, incluindo os demais fornecedores interessados.</w:t>
      </w:r>
    </w:p>
    <w:p>
      <w:pPr>
        <w:pStyle w:val="Normal"/>
        <w:jc w:val="both"/>
        <w:rPr>
          <w:rFonts w:ascii="Times New Roman" w:hAnsi="Times New Roman"/>
        </w:rPr>
      </w:pPr>
      <w:r>
        <w:rPr>
          <w:rFonts w:ascii="Times New Roman" w:hAnsi="Times New Roman"/>
        </w:rPr>
        <w:t>4.2.2. Serão exigidas amostras dos seguintes itens:</w:t>
      </w:r>
    </w:p>
    <w:p>
      <w:pPr>
        <w:pStyle w:val="Normal"/>
        <w:jc w:val="both"/>
        <w:rPr>
          <w:rFonts w:ascii="Times New Roman" w:hAnsi="Times New Roman"/>
        </w:rPr>
      </w:pPr>
      <w:r>
        <w:rPr>
          <w:rFonts w:ascii="Times New Roman" w:hAnsi="Times New Roman"/>
        </w:rPr>
        <w:t>a) abacate</w:t>
      </w:r>
    </w:p>
    <w:p>
      <w:pPr>
        <w:pStyle w:val="Normal"/>
        <w:jc w:val="both"/>
        <w:rPr>
          <w:rFonts w:ascii="Times New Roman" w:hAnsi="Times New Roman"/>
        </w:rPr>
      </w:pPr>
      <w:r>
        <w:rPr>
          <w:rFonts w:ascii="Times New Roman" w:hAnsi="Times New Roman"/>
        </w:rPr>
        <w:t>b) abacaxi</w:t>
      </w:r>
    </w:p>
    <w:p>
      <w:pPr>
        <w:pStyle w:val="Normal"/>
        <w:jc w:val="both"/>
        <w:rPr>
          <w:rFonts w:ascii="Times New Roman" w:hAnsi="Times New Roman"/>
        </w:rPr>
      </w:pPr>
      <w:r>
        <w:rPr>
          <w:rFonts w:ascii="Times New Roman" w:hAnsi="Times New Roman"/>
        </w:rPr>
        <w:t>c) alface americano</w:t>
      </w:r>
    </w:p>
    <w:p>
      <w:pPr>
        <w:pStyle w:val="Normal"/>
        <w:jc w:val="both"/>
        <w:rPr>
          <w:rFonts w:ascii="Times New Roman" w:hAnsi="Times New Roman"/>
        </w:rPr>
      </w:pPr>
      <w:r>
        <w:rPr>
          <w:rFonts w:ascii="Times New Roman" w:hAnsi="Times New Roman"/>
        </w:rPr>
        <w:t>d) ameixa</w:t>
      </w:r>
    </w:p>
    <w:p>
      <w:pPr>
        <w:pStyle w:val="Normal"/>
        <w:jc w:val="both"/>
        <w:rPr>
          <w:rFonts w:ascii="Times New Roman" w:hAnsi="Times New Roman"/>
        </w:rPr>
      </w:pPr>
      <w:r>
        <w:rPr>
          <w:rFonts w:ascii="Times New Roman" w:hAnsi="Times New Roman"/>
        </w:rPr>
        <w:t>e) banana prata</w:t>
      </w:r>
    </w:p>
    <w:p>
      <w:pPr>
        <w:pStyle w:val="Normal"/>
        <w:jc w:val="both"/>
        <w:rPr>
          <w:rFonts w:ascii="Times New Roman" w:hAnsi="Times New Roman"/>
        </w:rPr>
      </w:pPr>
      <w:r>
        <w:rPr>
          <w:rFonts w:ascii="Times New Roman" w:hAnsi="Times New Roman"/>
        </w:rPr>
        <w:t>f) batata inglesa</w:t>
      </w:r>
    </w:p>
    <w:p>
      <w:pPr>
        <w:pStyle w:val="Normal"/>
        <w:jc w:val="both"/>
        <w:rPr>
          <w:rFonts w:ascii="Times New Roman" w:hAnsi="Times New Roman"/>
        </w:rPr>
      </w:pPr>
      <w:r>
        <w:rPr>
          <w:rFonts w:ascii="Times New Roman" w:hAnsi="Times New Roman"/>
        </w:rPr>
        <w:t>g) kiwi</w:t>
      </w:r>
    </w:p>
    <w:p>
      <w:pPr>
        <w:pStyle w:val="Normal"/>
        <w:jc w:val="both"/>
        <w:rPr>
          <w:rFonts w:ascii="Times New Roman" w:hAnsi="Times New Roman"/>
        </w:rPr>
      </w:pPr>
      <w:r>
        <w:rPr>
          <w:rFonts w:ascii="Times New Roman" w:hAnsi="Times New Roman"/>
        </w:rPr>
        <w:t>h) maçã nacional</w:t>
      </w:r>
    </w:p>
    <w:p>
      <w:pPr>
        <w:pStyle w:val="Normal"/>
        <w:jc w:val="both"/>
        <w:rPr>
          <w:rFonts w:ascii="Times New Roman" w:hAnsi="Times New Roman"/>
        </w:rPr>
      </w:pPr>
      <w:r>
        <w:rPr>
          <w:rFonts w:ascii="Times New Roman" w:hAnsi="Times New Roman"/>
        </w:rPr>
        <w:t>i) mamão formosa</w:t>
      </w:r>
    </w:p>
    <w:p>
      <w:pPr>
        <w:pStyle w:val="Normal"/>
        <w:jc w:val="both"/>
        <w:rPr>
          <w:rFonts w:ascii="Times New Roman" w:hAnsi="Times New Roman"/>
        </w:rPr>
      </w:pPr>
      <w:r>
        <w:rPr>
          <w:rFonts w:ascii="Times New Roman" w:hAnsi="Times New Roman"/>
        </w:rPr>
        <w:t>j) pêra</w:t>
      </w:r>
    </w:p>
    <w:p>
      <w:pPr>
        <w:pStyle w:val="Normal"/>
        <w:jc w:val="both"/>
        <w:rPr>
          <w:rFonts w:ascii="Times New Roman" w:hAnsi="Times New Roman"/>
        </w:rPr>
      </w:pPr>
      <w:r>
        <w:rPr>
          <w:rFonts w:ascii="Times New Roman" w:hAnsi="Times New Roman"/>
        </w:rPr>
        <w:t>k) tangerina</w:t>
      </w:r>
    </w:p>
    <w:p>
      <w:pPr>
        <w:pStyle w:val="Normal"/>
        <w:jc w:val="both"/>
        <w:rPr>
          <w:rFonts w:ascii="Times New Roman" w:hAnsi="Times New Roman"/>
        </w:rPr>
      </w:pPr>
      <w:r>
        <w:rPr>
          <w:rFonts w:ascii="Times New Roman" w:hAnsi="Times New Roman"/>
        </w:rPr>
        <w:t>l) uva roxa</w:t>
      </w:r>
    </w:p>
    <w:p>
      <w:pPr>
        <w:pStyle w:val="Normal"/>
        <w:jc w:val="both"/>
        <w:rPr>
          <w:rFonts w:ascii="Times New Roman" w:hAnsi="Times New Roman"/>
        </w:rPr>
      </w:pPr>
      <w:r>
        <w:rPr>
          <w:rFonts w:ascii="Times New Roman" w:hAnsi="Times New Roman"/>
        </w:rPr>
        <w:t>4.2.3. É facultada prorrogação do prazo estabelecido, a partir de solicitação fundamentada no chat pelo interessado, antes de findo o prazo.</w:t>
      </w:r>
    </w:p>
    <w:p>
      <w:pPr>
        <w:pStyle w:val="Normal"/>
        <w:jc w:val="both"/>
        <w:rPr>
          <w:rFonts w:ascii="Times New Roman" w:hAnsi="Times New Roman"/>
        </w:rPr>
      </w:pPr>
      <w:r>
        <w:rPr>
          <w:rFonts w:ascii="Times New Roman" w:hAnsi="Times New Roman"/>
        </w:rPr>
        <w:t>4.2.4. No caso de não haver entrega da amostra ou ocorrer atraso na entrega, sem justificativa aceita, ou havendo entrega de amostra fora das especificações previstas, a proposta será recusada.</w:t>
      </w:r>
    </w:p>
    <w:p>
      <w:pPr>
        <w:pStyle w:val="Normal"/>
        <w:jc w:val="both"/>
        <w:rPr>
          <w:rFonts w:ascii="Times New Roman" w:hAnsi="Times New Roman"/>
        </w:rPr>
      </w:pPr>
      <w:r>
        <w:rPr>
          <w:rFonts w:ascii="Times New Roman" w:hAnsi="Times New Roman"/>
        </w:rPr>
        <w:t>4.2.5. Serão avaliados os seguintes aspectos e padrões mínimos de aceitabilidade, em conformidade com o art. 48, §2º, do Decreto nº 35.066/2022:</w:t>
      </w:r>
    </w:p>
    <w:p>
      <w:pPr>
        <w:pStyle w:val="Normal"/>
        <w:jc w:val="both"/>
        <w:rPr>
          <w:rFonts w:ascii="Times New Roman" w:hAnsi="Times New Roman"/>
        </w:rPr>
      </w:pPr>
      <w:r>
        <w:rPr>
          <w:rFonts w:ascii="Times New Roman" w:hAnsi="Times New Roman"/>
        </w:rPr>
        <w:t>4.2.5.1. Serão analisados os critérios de aceitação das respectivas amostras de acordo com a INSTRUÇÃO NORMATIVA Nº 69, DE 6 DE NOVEMBRO DE 2018, que estabelece o Regulamento Técnico definindo os requisitos mínimos de identidade e qualidade para Produtos Hortícolas</w:t>
      </w:r>
    </w:p>
    <w:p>
      <w:pPr>
        <w:pStyle w:val="Normal"/>
        <w:jc w:val="both"/>
        <w:rPr>
          <w:rFonts w:ascii="Times New Roman" w:hAnsi="Times New Roman"/>
        </w:rPr>
      </w:pPr>
      <w:r>
        <w:rPr>
          <w:rFonts w:ascii="Times New Roman" w:hAnsi="Times New Roman"/>
        </w:rPr>
        <w:t xml:space="preserve">4.2.5.2. Será utilizado o </w:t>
      </w:r>
      <w:r>
        <w:fldChar w:fldCharType="begin"/>
      </w:r>
      <w:r>
        <w:rPr>
          <w:rFonts w:ascii="Times New Roman" w:hAnsi="Times New Roman"/>
        </w:rPr>
        <w:instrText xml:space="preserve"> HYPERLINK "https://www.gov.br/agricultura/pt-br/assuntos/inspecao/produtos-vegetal/qualidade-vegetal-1/referencial-fotografico-horti" \l ":~:text=O referencial fotográfico é uma,mesmas são elaboradas ou atualizadas"</w:instrText>
      </w:r>
      <w:r>
        <w:rPr>
          <w:rFonts w:ascii="Times New Roman" w:hAnsi="Times New Roman"/>
        </w:rPr>
        <w:fldChar w:fldCharType="separate"/>
      </w:r>
      <w:r>
        <w:rPr>
          <w:rFonts w:ascii="Times New Roman" w:hAnsi="Times New Roman"/>
        </w:rPr>
        <w:t>Referencial Fotográfico para os Produtos Hortícolas</w:t>
      </w:r>
      <w:r>
        <w:rPr>
          <w:rFonts w:ascii="Times New Roman" w:hAnsi="Times New Roman"/>
        </w:rPr>
        <w:fldChar w:fldCharType="end"/>
      </w:r>
      <w:r>
        <w:rPr>
          <w:rFonts w:ascii="Times New Roman" w:hAnsi="Times New Roman"/>
        </w:rPr>
        <w:t xml:space="preserve"> elaborado pelo Ministério da Agricultura, Pecuária e Abastecimento (MAPA) para análise dos requisitos mínimos de identidade e qualidade para produtos hortícolas.</w:t>
      </w:r>
    </w:p>
    <w:p>
      <w:pPr>
        <w:pStyle w:val="Normal"/>
        <w:jc w:val="both"/>
        <w:rPr>
          <w:rFonts w:ascii="Times New Roman" w:hAnsi="Times New Roman"/>
        </w:rPr>
      </w:pPr>
      <w:r>
        <w:rPr>
          <w:rFonts w:ascii="Times New Roman" w:hAnsi="Times New Roman"/>
        </w:rPr>
        <w:t>4.2.5.3. Para o(s) item(ns): Com a unidade de fornecimento em Quilogramas (kg), as amostras deverão ter no mínimo 01 (um), quilograma (kg) de amostra.</w:t>
      </w:r>
    </w:p>
    <w:p>
      <w:pPr>
        <w:pStyle w:val="Normal"/>
        <w:jc w:val="both"/>
        <w:rPr>
          <w:rFonts w:ascii="Times New Roman" w:hAnsi="Times New Roman"/>
        </w:rPr>
      </w:pPr>
      <w:r>
        <w:rPr>
          <w:rFonts w:ascii="Times New Roman" w:hAnsi="Times New Roman"/>
        </w:rPr>
        <w:t>4.2.5.4. Para o(s) item(ns): Com a unidade de fornecimento em Unidade (Und), as amostras deverão ter no mínimo 03 (três) unidade de amostra.</w:t>
      </w:r>
    </w:p>
    <w:p>
      <w:pPr>
        <w:pStyle w:val="Normal"/>
        <w:jc w:val="both"/>
        <w:rPr>
          <w:rFonts w:ascii="Times New Roman" w:hAnsi="Times New Roman"/>
        </w:rPr>
      </w:pPr>
      <w:r>
        <w:rPr>
          <w:rFonts w:ascii="Times New Roman" w:hAnsi="Times New Roman"/>
        </w:rPr>
        <w:t>4.2.5.5. Para o(s) item(ns): Com a unidade de fornecimento em Pacote com 50 gramas, as amostras deverão ter no mínimo 01 (um) pacote com 50 gramas de amostra.</w:t>
      </w:r>
    </w:p>
    <w:p>
      <w:pPr>
        <w:pStyle w:val="Normal"/>
        <w:jc w:val="both"/>
        <w:rPr>
          <w:rFonts w:ascii="Times New Roman" w:hAnsi="Times New Roman"/>
        </w:rPr>
      </w:pPr>
      <w:r>
        <w:rPr>
          <w:rFonts w:ascii="Times New Roman" w:hAnsi="Times New Roman"/>
        </w:rPr>
        <w:t>4.2.5.6. Para o(s) item(ns): Com a unidade de fornecimento em Embalagem com 250 gramas as amostras deverão ter no mínimo 01 (uma) embalagem com 250 gramas de amostra.</w:t>
      </w:r>
    </w:p>
    <w:p>
      <w:pPr>
        <w:pStyle w:val="Normal"/>
        <w:jc w:val="both"/>
        <w:rPr>
          <w:rFonts w:ascii="Times New Roman" w:hAnsi="Times New Roman"/>
        </w:rPr>
      </w:pPr>
      <w:r>
        <w:rPr>
          <w:rFonts w:ascii="Times New Roman" w:hAnsi="Times New Roman"/>
        </w:rPr>
        <w:t>4.2.6. 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pPr>
        <w:pStyle w:val="Normal"/>
        <w:jc w:val="both"/>
        <w:rPr>
          <w:rFonts w:ascii="Times New Roman" w:hAnsi="Times New Roman"/>
        </w:rPr>
      </w:pPr>
      <w:r>
        <w:rPr>
          <w:rFonts w:ascii="Times New Roman" w:hAnsi="Times New Roman"/>
        </w:rPr>
        <w:t>4.2.7. Os exemplares colocados à disposição da Administração serão tratados como protótipos, podendo ser manuseados e desmontados pela equipe técnica responsável pela análise, não gerando direito a ressarcimento.</w:t>
      </w:r>
    </w:p>
    <w:p>
      <w:pPr>
        <w:pStyle w:val="Normal"/>
        <w:jc w:val="both"/>
        <w:rPr>
          <w:rFonts w:ascii="Times New Roman" w:hAnsi="Times New Roman"/>
        </w:rPr>
      </w:pPr>
      <w:r>
        <w:rPr>
          <w:rFonts w:ascii="Times New Roman" w:hAnsi="Times New Roman"/>
        </w:rPr>
        <w:t>4.2.8. As amostras que atenderam às especificações e padrões de aceitabilidade previstas no edital deverão permanecer a disposição da Administração até o término da execução contratual, quando as licitantes terão o prazo de 05 (cinco) dias para recolhê-las. Na hipótese das amostras rejeitadas, estas deverão ser retiradas pelas licitantes até 02 (dois) dias da homologação. Não havendo a retirada, os respectivos bens serão descartados pela Administração.</w:t>
      </w:r>
    </w:p>
    <w:p>
      <w:pPr>
        <w:pStyle w:val="Normal"/>
        <w:jc w:val="both"/>
        <w:rPr>
          <w:rFonts w:ascii="Times New Roman" w:hAnsi="Times New Roman"/>
        </w:rPr>
      </w:pPr>
      <w:r>
        <w:rPr>
          <w:rFonts w:ascii="Times New Roman" w:hAnsi="Times New Roman"/>
        </w:rPr>
        <w:t>4.2.9. Os interessados deverão colocar à disposição da Administração todas as condições indispensáveis à realização de testes e fornecer, sem ônus, os manuais impressos em língua portuguesa, necessários ao seu perfeito manuseio, quando for o caso.</w:t>
      </w:r>
    </w:p>
    <w:p>
      <w:pPr>
        <w:pStyle w:val="Normal"/>
        <w:jc w:val="both"/>
        <w:rPr>
          <w:b/>
          <w:b/>
          <w:bCs/>
        </w:rPr>
      </w:pPr>
      <w:r>
        <w:rPr>
          <w:rFonts w:ascii="Times New Roman" w:hAnsi="Times New Roman"/>
          <w:b/>
          <w:bCs/>
        </w:rPr>
        <w:t>4.3. Da subcontratação</w:t>
      </w:r>
    </w:p>
    <w:p>
      <w:pPr>
        <w:pStyle w:val="Normal"/>
        <w:jc w:val="both"/>
        <w:rPr>
          <w:rFonts w:ascii="Times New Roman" w:hAnsi="Times New Roman"/>
        </w:rPr>
      </w:pPr>
      <w:r>
        <w:rPr>
          <w:rFonts w:ascii="Times New Roman" w:hAnsi="Times New Roman"/>
        </w:rPr>
        <w:t>4.3.1. Não será admitida a subcontratação.</w:t>
      </w:r>
    </w:p>
    <w:p>
      <w:pPr>
        <w:pStyle w:val="Normal"/>
        <w:jc w:val="both"/>
        <w:rPr>
          <w:b/>
          <w:b/>
          <w:bCs/>
        </w:rPr>
      </w:pPr>
      <w:r>
        <w:rPr>
          <w:rFonts w:ascii="Times New Roman" w:hAnsi="Times New Roman"/>
          <w:b/>
          <w:bCs/>
        </w:rPr>
        <w:t>4.4. Da garantia da contratação</w:t>
      </w:r>
    </w:p>
    <w:p>
      <w:pPr>
        <w:pStyle w:val="Normal"/>
        <w:jc w:val="both"/>
        <w:rPr>
          <w:rFonts w:ascii="Times New Roman" w:hAnsi="Times New Roman"/>
        </w:rPr>
      </w:pPr>
      <w:r>
        <w:rPr>
          <w:rFonts w:ascii="Times New Roman" w:hAnsi="Times New Roman"/>
        </w:rPr>
        <w:t>4.4.1. Não haverá exigência de garantia contratual.</w:t>
      </w:r>
    </w:p>
    <w:p>
      <w:pPr>
        <w:pStyle w:val="Normal"/>
        <w:jc w:val="both"/>
        <w:rPr>
          <w:rFonts w:ascii="Times New Roman" w:hAnsi="Times New Roman"/>
          <w:b/>
          <w:b/>
        </w:rPr>
      </w:pPr>
      <w:r>
        <w:rPr>
          <w:rFonts w:ascii="Times New Roman" w:hAnsi="Times New Roman"/>
          <w:b/>
        </w:rPr>
      </w:r>
    </w:p>
    <w:p>
      <w:pPr>
        <w:pStyle w:val="Normal"/>
        <w:jc w:val="both"/>
        <w:rPr>
          <w:rFonts w:ascii="Times New Roman" w:hAnsi="Times New Roman"/>
          <w:b/>
          <w:b/>
        </w:rPr>
      </w:pPr>
      <w:r>
        <w:rPr>
          <w:rFonts w:ascii="Times New Roman" w:hAnsi="Times New Roman"/>
          <w:b/>
        </w:rPr>
        <w:t>5. MODELO DE EXECUÇÃO DO OBJETO</w:t>
      </w:r>
    </w:p>
    <w:p>
      <w:pPr>
        <w:pStyle w:val="Normal"/>
        <w:jc w:val="both"/>
        <w:rPr>
          <w:rFonts w:ascii="Times New Roman" w:hAnsi="Times New Roman"/>
        </w:rPr>
      </w:pPr>
      <w:r>
        <w:rPr>
          <w:rFonts w:ascii="Times New Roman" w:hAnsi="Times New Roman"/>
        </w:rPr>
        <w:t>5.1. Condições de Entrega</w:t>
      </w:r>
    </w:p>
    <w:p>
      <w:pPr>
        <w:pStyle w:val="Normal"/>
        <w:jc w:val="both"/>
        <w:rPr>
          <w:rFonts w:ascii="Times New Roman" w:hAnsi="Times New Roman"/>
        </w:rPr>
      </w:pPr>
      <w:r>
        <w:rPr>
          <w:rFonts w:ascii="Times New Roman" w:hAnsi="Times New Roman"/>
        </w:rPr>
        <w:t>5.1.1. O objeto contratual deverá ser entregue em conformidade com as especificações e condições estabelecidas neste termo. As parcelas serão entregues na forma abaixo abaixo, a contar do recebimento da Ordem de Fornecimento ou instrumento equivalente, no(s) endereço(s), horários e dias estabelecidos no respectivo documento.</w:t>
      </w:r>
    </w:p>
    <w:p>
      <w:pPr>
        <w:pStyle w:val="Normal"/>
        <w:jc w:val="both"/>
        <w:rPr>
          <w:rFonts w:ascii="Times New Roman" w:hAnsi="Times New Roman"/>
        </w:rPr>
      </w:pPr>
      <w:r>
        <w:rPr>
          <w:rFonts w:ascii="Times New Roman" w:hAnsi="Times New Roman"/>
        </w:rPr>
      </w:r>
    </w:p>
    <w:tbl>
      <w:tblPr>
        <w:tblW w:w="8931" w:type="dxa"/>
        <w:jc w:val="left"/>
        <w:tblInd w:w="-5" w:type="dxa"/>
        <w:tblLayout w:type="fixed"/>
        <w:tblCellMar>
          <w:top w:w="0" w:type="dxa"/>
          <w:left w:w="70" w:type="dxa"/>
          <w:bottom w:w="0" w:type="dxa"/>
          <w:right w:w="70" w:type="dxa"/>
        </w:tblCellMar>
        <w:tblLook w:firstRow="1" w:noVBand="1" w:lastRow="0" w:firstColumn="1" w:lastColumn="0" w:noHBand="0" w:val="04a0"/>
      </w:tblPr>
      <w:tblGrid>
        <w:gridCol w:w="710"/>
        <w:gridCol w:w="2408"/>
        <w:gridCol w:w="992"/>
        <w:gridCol w:w="852"/>
        <w:gridCol w:w="710"/>
        <w:gridCol w:w="851"/>
        <w:gridCol w:w="847"/>
        <w:gridCol w:w="709"/>
        <w:gridCol w:w="851"/>
      </w:tblGrid>
      <w:tr>
        <w:trPr>
          <w:trHeight w:val="283" w:hRule="atLeast"/>
        </w:trPr>
        <w:tc>
          <w:tcPr>
            <w:tcW w:w="4110" w:type="dxa"/>
            <w:gridSpan w:val="3"/>
            <w:tcBorders>
              <w:top w:val="single" w:sz="4" w:space="0" w:color="000000"/>
              <w:left w:val="single" w:sz="4" w:space="0" w:color="000000"/>
              <w:bottom w:val="single" w:sz="4" w:space="0" w:color="000000"/>
              <w:right w:val="single" w:sz="4" w:space="0" w:color="000000"/>
            </w:tcBorders>
            <w:shd w:color="000000" w:fill="D0CECE" w:val="clear"/>
            <w:vAlign w:val="center"/>
          </w:tcPr>
          <w:p>
            <w:pPr>
              <w:pStyle w:val="Normal"/>
              <w:widowControl w:val="false"/>
              <w:jc w:val="both"/>
              <w:rPr>
                <w:rFonts w:ascii="Times New Roman" w:hAnsi="Times New Roman" w:eastAsia="Times New Roman"/>
                <w:b/>
                <w:b/>
                <w:bCs/>
                <w:color w:val="000000"/>
                <w:lang w:eastAsia="pt-BR"/>
              </w:rPr>
            </w:pPr>
            <w:r>
              <w:rPr>
                <w:rFonts w:eastAsia="Times New Roman" w:ascii="Times New Roman" w:hAnsi="Times New Roman"/>
                <w:b/>
                <w:bCs/>
                <w:color w:val="000000"/>
                <w:lang w:eastAsia="pt-BR"/>
              </w:rPr>
            </w:r>
          </w:p>
        </w:tc>
        <w:tc>
          <w:tcPr>
            <w:tcW w:w="4820" w:type="dxa"/>
            <w:gridSpan w:val="6"/>
            <w:tcBorders>
              <w:top w:val="single" w:sz="4" w:space="0" w:color="000000"/>
              <w:bottom w:val="single" w:sz="4" w:space="0" w:color="000000"/>
              <w:right w:val="single" w:sz="4" w:space="0" w:color="000000"/>
            </w:tcBorders>
            <w:shd w:color="000000" w:fill="D0CECE" w:val="clear"/>
            <w:vAlign w:val="center"/>
          </w:tcPr>
          <w:p>
            <w:pPr>
              <w:pStyle w:val="Normal"/>
              <w:widowControl w:val="false"/>
              <w:jc w:val="center"/>
              <w:rPr>
                <w:rFonts w:ascii="Times New Roman" w:hAnsi="Times New Roman" w:eastAsia="Times New Roman"/>
                <w:b/>
                <w:b/>
                <w:bCs/>
                <w:color w:val="000000"/>
                <w:lang w:eastAsia="pt-BR"/>
              </w:rPr>
            </w:pPr>
            <w:r>
              <w:rPr>
                <w:rFonts w:eastAsia="Times New Roman" w:ascii="Times New Roman" w:hAnsi="Times New Roman"/>
                <w:b/>
                <w:bCs/>
                <w:color w:val="000000"/>
                <w:lang w:eastAsia="pt-BR"/>
              </w:rPr>
              <w:t>ENTREGAS</w:t>
            </w:r>
          </w:p>
        </w:tc>
      </w:tr>
      <w:tr>
        <w:trPr>
          <w:trHeight w:val="283" w:hRule="atLeast"/>
        </w:trPr>
        <w:tc>
          <w:tcPr>
            <w:tcW w:w="710" w:type="dxa"/>
            <w:tcBorders>
              <w:left w:val="single" w:sz="4" w:space="0" w:color="000000"/>
              <w:bottom w:val="single" w:sz="4" w:space="0" w:color="000000"/>
              <w:right w:val="single" w:sz="4" w:space="0" w:color="000000"/>
            </w:tcBorders>
            <w:shd w:color="000000" w:fill="D0CECE" w:val="clear"/>
            <w:vAlign w:val="center"/>
          </w:tcPr>
          <w:p>
            <w:pPr>
              <w:pStyle w:val="Normal"/>
              <w:widowControl w:val="false"/>
              <w:jc w:val="center"/>
              <w:rPr>
                <w:rFonts w:ascii="Times New Roman" w:hAnsi="Times New Roman" w:eastAsia="Times New Roman"/>
                <w:b/>
                <w:b/>
                <w:bCs/>
                <w:color w:val="000000"/>
                <w:lang w:eastAsia="pt-BR"/>
              </w:rPr>
            </w:pPr>
            <w:r>
              <w:rPr>
                <w:rFonts w:eastAsia="Times New Roman" w:ascii="Times New Roman" w:hAnsi="Times New Roman"/>
                <w:b/>
                <w:bCs/>
                <w:color w:val="000000"/>
                <w:lang w:eastAsia="pt-BR"/>
              </w:rPr>
              <w:t>Item</w:t>
            </w:r>
          </w:p>
        </w:tc>
        <w:tc>
          <w:tcPr>
            <w:tcW w:w="2408" w:type="dxa"/>
            <w:tcBorders>
              <w:bottom w:val="single" w:sz="4" w:space="0" w:color="000000"/>
              <w:right w:val="single" w:sz="4" w:space="0" w:color="000000"/>
            </w:tcBorders>
            <w:shd w:color="000000" w:fill="D0CECE" w:val="clear"/>
            <w:vAlign w:val="center"/>
          </w:tcPr>
          <w:p>
            <w:pPr>
              <w:pStyle w:val="Normal"/>
              <w:widowControl w:val="false"/>
              <w:jc w:val="center"/>
              <w:rPr>
                <w:rFonts w:ascii="Times New Roman" w:hAnsi="Times New Roman" w:eastAsia="Times New Roman"/>
                <w:b/>
                <w:b/>
                <w:bCs/>
                <w:color w:val="000000"/>
                <w:lang w:eastAsia="pt-BR"/>
              </w:rPr>
            </w:pPr>
            <w:r>
              <w:rPr>
                <w:rFonts w:eastAsia="Times New Roman" w:ascii="Times New Roman" w:hAnsi="Times New Roman"/>
                <w:b/>
                <w:bCs/>
                <w:color w:val="000000"/>
                <w:lang w:eastAsia="pt-BR"/>
              </w:rPr>
              <w:t>Especificação</w:t>
            </w:r>
          </w:p>
        </w:tc>
        <w:tc>
          <w:tcPr>
            <w:tcW w:w="992" w:type="dxa"/>
            <w:tcBorders>
              <w:bottom w:val="single" w:sz="4" w:space="0" w:color="000000"/>
              <w:right w:val="single" w:sz="4" w:space="0" w:color="000000"/>
            </w:tcBorders>
            <w:shd w:color="000000" w:fill="D0CECE" w:val="clear"/>
            <w:vAlign w:val="center"/>
          </w:tcPr>
          <w:p>
            <w:pPr>
              <w:pStyle w:val="Normal"/>
              <w:widowControl w:val="false"/>
              <w:jc w:val="center"/>
              <w:rPr>
                <w:rFonts w:ascii="Times New Roman" w:hAnsi="Times New Roman" w:eastAsia="Times New Roman"/>
                <w:b/>
                <w:b/>
                <w:bCs/>
                <w:color w:val="000000"/>
                <w:lang w:eastAsia="pt-BR"/>
              </w:rPr>
            </w:pPr>
            <w:r>
              <w:rPr>
                <w:rFonts w:eastAsia="Times New Roman" w:ascii="Times New Roman" w:hAnsi="Times New Roman"/>
                <w:b/>
                <w:bCs/>
                <w:color w:val="000000"/>
                <w:lang w:eastAsia="pt-BR"/>
              </w:rPr>
              <w:t>Qtde</w:t>
            </w:r>
          </w:p>
        </w:tc>
        <w:tc>
          <w:tcPr>
            <w:tcW w:w="852" w:type="dxa"/>
            <w:tcBorders>
              <w:bottom w:val="single" w:sz="4" w:space="0" w:color="000000"/>
              <w:right w:val="single" w:sz="4" w:space="0" w:color="000000"/>
            </w:tcBorders>
            <w:shd w:color="000000" w:fill="D0CECE" w:val="clear"/>
            <w:vAlign w:val="center"/>
          </w:tcPr>
          <w:p>
            <w:pPr>
              <w:pStyle w:val="Normal"/>
              <w:widowControl w:val="false"/>
              <w:jc w:val="center"/>
              <w:rPr>
                <w:rFonts w:ascii="Times New Roman" w:hAnsi="Times New Roman" w:eastAsia="Times New Roman"/>
                <w:b/>
                <w:b/>
                <w:bCs/>
                <w:color w:val="000000"/>
                <w:lang w:eastAsia="pt-BR"/>
              </w:rPr>
            </w:pPr>
            <w:r>
              <w:rPr>
                <w:rFonts w:eastAsia="Times New Roman" w:ascii="Times New Roman" w:hAnsi="Times New Roman"/>
                <w:b/>
                <w:bCs/>
                <w:color w:val="000000"/>
                <w:lang w:eastAsia="pt-BR"/>
              </w:rPr>
              <w:t>1ª</w:t>
            </w:r>
          </w:p>
        </w:tc>
        <w:tc>
          <w:tcPr>
            <w:tcW w:w="710" w:type="dxa"/>
            <w:tcBorders>
              <w:bottom w:val="single" w:sz="4" w:space="0" w:color="000000"/>
              <w:right w:val="single" w:sz="4" w:space="0" w:color="000000"/>
            </w:tcBorders>
            <w:shd w:color="000000" w:fill="D0CECE" w:val="clear"/>
            <w:vAlign w:val="center"/>
          </w:tcPr>
          <w:p>
            <w:pPr>
              <w:pStyle w:val="Normal"/>
              <w:widowControl w:val="false"/>
              <w:jc w:val="center"/>
              <w:rPr>
                <w:rFonts w:ascii="Times New Roman" w:hAnsi="Times New Roman" w:eastAsia="Times New Roman"/>
                <w:b/>
                <w:b/>
                <w:bCs/>
                <w:color w:val="000000"/>
                <w:lang w:eastAsia="pt-BR"/>
              </w:rPr>
            </w:pPr>
            <w:r>
              <w:rPr>
                <w:rFonts w:eastAsia="Times New Roman" w:ascii="Times New Roman" w:hAnsi="Times New Roman"/>
                <w:b/>
                <w:bCs/>
                <w:color w:val="000000"/>
                <w:lang w:eastAsia="pt-BR"/>
              </w:rPr>
              <w:t>2ª</w:t>
            </w:r>
          </w:p>
        </w:tc>
        <w:tc>
          <w:tcPr>
            <w:tcW w:w="851" w:type="dxa"/>
            <w:tcBorders>
              <w:bottom w:val="single" w:sz="4" w:space="0" w:color="000000"/>
              <w:right w:val="single" w:sz="4" w:space="0" w:color="000000"/>
            </w:tcBorders>
            <w:shd w:color="000000" w:fill="D0CECE" w:val="clear"/>
            <w:vAlign w:val="center"/>
          </w:tcPr>
          <w:p>
            <w:pPr>
              <w:pStyle w:val="Normal"/>
              <w:widowControl w:val="false"/>
              <w:jc w:val="center"/>
              <w:rPr>
                <w:rFonts w:ascii="Times New Roman" w:hAnsi="Times New Roman" w:eastAsia="Times New Roman"/>
                <w:b/>
                <w:b/>
                <w:bCs/>
                <w:color w:val="000000"/>
                <w:lang w:eastAsia="pt-BR"/>
              </w:rPr>
            </w:pPr>
            <w:r>
              <w:rPr>
                <w:rFonts w:eastAsia="Times New Roman" w:ascii="Times New Roman" w:hAnsi="Times New Roman"/>
                <w:b/>
                <w:bCs/>
                <w:color w:val="000000"/>
                <w:lang w:eastAsia="pt-BR"/>
              </w:rPr>
              <w:t>3ª</w:t>
            </w:r>
          </w:p>
        </w:tc>
        <w:tc>
          <w:tcPr>
            <w:tcW w:w="847" w:type="dxa"/>
            <w:tcBorders>
              <w:bottom w:val="single" w:sz="4" w:space="0" w:color="000000"/>
              <w:right w:val="single" w:sz="4" w:space="0" w:color="000000"/>
            </w:tcBorders>
            <w:shd w:color="000000" w:fill="D0CECE" w:val="clear"/>
            <w:vAlign w:val="center"/>
          </w:tcPr>
          <w:p>
            <w:pPr>
              <w:pStyle w:val="Normal"/>
              <w:widowControl w:val="false"/>
              <w:jc w:val="center"/>
              <w:rPr>
                <w:rFonts w:ascii="Times New Roman" w:hAnsi="Times New Roman" w:eastAsia="Times New Roman"/>
                <w:b/>
                <w:b/>
                <w:bCs/>
                <w:color w:val="000000"/>
                <w:lang w:eastAsia="pt-BR"/>
              </w:rPr>
            </w:pPr>
            <w:r>
              <w:rPr>
                <w:rFonts w:eastAsia="Times New Roman" w:ascii="Times New Roman" w:hAnsi="Times New Roman"/>
                <w:b/>
                <w:bCs/>
                <w:color w:val="000000"/>
                <w:lang w:eastAsia="pt-BR"/>
              </w:rPr>
              <w:t>4ª</w:t>
            </w:r>
          </w:p>
        </w:tc>
        <w:tc>
          <w:tcPr>
            <w:tcW w:w="709" w:type="dxa"/>
            <w:tcBorders>
              <w:bottom w:val="single" w:sz="4" w:space="0" w:color="000000"/>
              <w:right w:val="single" w:sz="4" w:space="0" w:color="000000"/>
            </w:tcBorders>
            <w:shd w:color="000000" w:fill="D0CECE" w:val="clear"/>
            <w:vAlign w:val="center"/>
          </w:tcPr>
          <w:p>
            <w:pPr>
              <w:pStyle w:val="Normal"/>
              <w:widowControl w:val="false"/>
              <w:jc w:val="center"/>
              <w:rPr>
                <w:rFonts w:ascii="Times New Roman" w:hAnsi="Times New Roman" w:eastAsia="Times New Roman"/>
                <w:b/>
                <w:b/>
                <w:bCs/>
                <w:color w:val="000000"/>
                <w:lang w:eastAsia="pt-BR"/>
              </w:rPr>
            </w:pPr>
            <w:r>
              <w:rPr>
                <w:rFonts w:eastAsia="Times New Roman" w:ascii="Times New Roman" w:hAnsi="Times New Roman"/>
                <w:b/>
                <w:bCs/>
                <w:color w:val="000000"/>
                <w:lang w:eastAsia="pt-BR"/>
              </w:rPr>
              <w:t>5ª</w:t>
            </w:r>
          </w:p>
        </w:tc>
        <w:tc>
          <w:tcPr>
            <w:tcW w:w="851" w:type="dxa"/>
            <w:tcBorders>
              <w:bottom w:val="single" w:sz="4" w:space="0" w:color="000000"/>
              <w:right w:val="single" w:sz="4" w:space="0" w:color="000000"/>
            </w:tcBorders>
            <w:shd w:color="000000" w:fill="D0CECE" w:val="clear"/>
            <w:vAlign w:val="center"/>
          </w:tcPr>
          <w:p>
            <w:pPr>
              <w:pStyle w:val="Normal"/>
              <w:widowControl w:val="false"/>
              <w:jc w:val="center"/>
              <w:rPr>
                <w:rFonts w:ascii="Times New Roman" w:hAnsi="Times New Roman" w:eastAsia="Times New Roman"/>
                <w:b/>
                <w:b/>
                <w:bCs/>
                <w:color w:val="000000"/>
                <w:lang w:eastAsia="pt-BR"/>
              </w:rPr>
            </w:pPr>
            <w:r>
              <w:rPr>
                <w:rFonts w:eastAsia="Times New Roman" w:ascii="Times New Roman" w:hAnsi="Times New Roman"/>
                <w:b/>
                <w:bCs/>
                <w:color w:val="000000"/>
                <w:lang w:eastAsia="pt-BR"/>
              </w:rPr>
              <w:t>6ª</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Abacate</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108</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18</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18</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18</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18</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18</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18</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Abacaxi</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222</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37</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37</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37</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37</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Abobora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78</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Abobrinha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78</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Acelga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78</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6</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Alecrim</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48</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Alface americano</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330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55</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55</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55</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55</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Alface roxa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264</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44</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44</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44</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44</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44</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44</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9</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Alho granel</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Alho poro</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60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11</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Ameixa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72</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Aspargo</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42</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Banana prata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14</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Batata doce</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78</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Batata inglesa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252</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42</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42</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42</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42</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42</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42</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16</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Berinjela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17</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Beterraba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42</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18</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Brócolis</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42</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19</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Cebola Branca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180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30</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30</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30</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30</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Cebola Roxa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90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21</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Cenoura.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25</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25</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25</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25</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22</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Chuchu</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228</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38</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38</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38</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38</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38</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38</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23</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Cheiro verde</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78</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24</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Couve Tipo Manteiga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42</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25</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Couve flor</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90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26</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Espinafre</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24</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27</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Feijão Verde</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162</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27</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27</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27</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27</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28</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Funghi</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18</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29</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Gengibre</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18</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30</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Goiaba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31</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Hortelã</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48</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32</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Kiwi</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60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33</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Laranja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216</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36</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36</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36</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36</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36</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36</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34</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Limão</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42</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35</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Limão Siciliano</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36</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Maçã nacional</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90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37</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Macaxeira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90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38</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Mamão papaia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132</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22</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22</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22</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22</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22</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22</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39</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Mamão Formosa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90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15</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40</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Manjericão</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41</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Manga tommy</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48</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42</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Maracujá</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20</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43</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Melancia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60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44</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Melão espanhol</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72</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45</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Melão japonês</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144</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24</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24</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24</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24</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24</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24</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46</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Morango</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60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47</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Pepino</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48</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Pera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49</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Pimenta de Cheiro</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18</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50</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Pimenta dedo de moça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24</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51</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Pimenta biquinho</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18</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3</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52</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Pimentão Amarelo</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60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53</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Pimentão Verde</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60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54</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Pimentão Vermelho</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60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55</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Repolho Branco</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72</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12</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56</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Repolho Roxo</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60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57</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Rúcula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60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58</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Tangerina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102</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17</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17</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17</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17</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59</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Tomate cereja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42</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60</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Tomate fresco</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162</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27</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27</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27</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27</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61</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Uva Roxa</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48</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8</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62</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Uva Verde</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60</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10</w:t>
            </w:r>
          </w:p>
        </w:tc>
      </w:tr>
      <w:tr>
        <w:trPr>
          <w:trHeight w:val="283" w:hRule="atLeast"/>
        </w:trPr>
        <w:tc>
          <w:tcPr>
            <w:tcW w:w="71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63</w:t>
            </w:r>
          </w:p>
        </w:tc>
        <w:tc>
          <w:tcPr>
            <w:tcW w:w="2408" w:type="dxa"/>
            <w:tcBorders>
              <w:bottom w:val="single" w:sz="4" w:space="0" w:color="000000"/>
              <w:right w:val="single" w:sz="4" w:space="0" w:color="000000"/>
            </w:tcBorders>
            <w:shd w:color="000000" w:fill="FFFFFF" w:val="clear"/>
            <w:vAlign w:val="center"/>
          </w:tcPr>
          <w:p>
            <w:pPr>
              <w:pStyle w:val="Normal"/>
              <w:widowControl w:val="false"/>
              <w:jc w:val="both"/>
              <w:rPr>
                <w:rFonts w:ascii="Times New Roman" w:hAnsi="Times New Roman" w:eastAsia="Times New Roman"/>
                <w:color w:val="000000"/>
                <w:lang w:eastAsia="pt-BR"/>
              </w:rPr>
            </w:pPr>
            <w:r>
              <w:rPr>
                <w:rFonts w:eastAsia="Times New Roman" w:ascii="Times New Roman" w:hAnsi="Times New Roman"/>
                <w:color w:val="000000"/>
                <w:lang w:eastAsia="pt-BR"/>
              </w:rPr>
              <w:t>Vagem</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42</w:t>
            </w:r>
          </w:p>
        </w:tc>
        <w:tc>
          <w:tcPr>
            <w:tcW w:w="852"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47"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olor w:val="000000"/>
                <w:lang w:eastAsia="pt-BR"/>
              </w:rPr>
            </w:pPr>
            <w:r>
              <w:rPr>
                <w:rFonts w:eastAsia="Times New Roman" w:ascii="Times New Roman" w:hAnsi="Times New Roman"/>
                <w:color w:val="000000"/>
                <w:lang w:eastAsia="pt-BR"/>
              </w:rPr>
              <w:t>7</w:t>
            </w:r>
          </w:p>
        </w:tc>
      </w:tr>
    </w:tbl>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5.1.2. A quantidade ou prazo da entrega excepcionalmente poderão sofrer alterações por parte do contratante, devendo o contratado ser informado de forma antecipada de no mínimo 03 (três) dias antes do prazo previsto para entrega.</w:t>
      </w:r>
    </w:p>
    <w:p>
      <w:pPr>
        <w:pStyle w:val="Normal"/>
        <w:jc w:val="both"/>
        <w:rPr>
          <w:rFonts w:ascii="Times New Roman" w:hAnsi="Times New Roman"/>
        </w:rPr>
      </w:pPr>
      <w:r>
        <w:rPr>
          <w:rFonts w:ascii="Times New Roman" w:hAnsi="Times New Roman"/>
        </w:rPr>
        <w:t>5.1.3. Caso não seja possível a entrega na data assinalada, o contratado deverá comunicar as razões respectivas com pelo menos 03 (três) dias de antecedência para que qualquer pleito de prorrogação de prazo seja analisado, ressalvadas situações de caso fortuito e força maior.</w:t>
      </w:r>
    </w:p>
    <w:p>
      <w:pPr>
        <w:pStyle w:val="Normal"/>
        <w:jc w:val="both"/>
        <w:rPr>
          <w:rFonts w:ascii="Times New Roman" w:hAnsi="Times New Roman"/>
        </w:rPr>
      </w:pPr>
      <w:r>
        <w:rPr>
          <w:rFonts w:ascii="Times New Roman" w:hAnsi="Times New Roman"/>
        </w:rPr>
        <w:t>5.1.3.1. Os atrasos ocasionados por motivo de força maior ou caso fortuito, desde que justificados e aceitos pelo contratante, não serão considerados como inadimplemento contratual.</w:t>
      </w:r>
    </w:p>
    <w:p>
      <w:pPr>
        <w:pStyle w:val="Normal"/>
        <w:jc w:val="both"/>
        <w:rPr>
          <w:rFonts w:ascii="Times New Roman" w:hAnsi="Times New Roman"/>
        </w:rPr>
      </w:pPr>
      <w:r>
        <w:rPr>
          <w:rFonts w:ascii="Times New Roman" w:hAnsi="Times New Roman"/>
        </w:rPr>
        <w:t>5.1.4. No caso de produtos perecíveis, o prazo de validade na data da entrega não poderá ser inferior a 07 (sete) dias do prazo total recomendado pelo fabricante.</w:t>
      </w:r>
    </w:p>
    <w:p>
      <w:pPr>
        <w:pStyle w:val="Normal"/>
        <w:jc w:val="both"/>
        <w:rPr>
          <w:rFonts w:ascii="Times New Roman" w:hAnsi="Times New Roman"/>
          <w:b/>
          <w:b/>
        </w:rPr>
      </w:pPr>
      <w:r>
        <w:rPr>
          <w:rFonts w:ascii="Times New Roman" w:hAnsi="Times New Roman"/>
          <w:b/>
        </w:rPr>
        <w:t>6. MODELO DE GESTÃO DO CONTRATO</w:t>
      </w:r>
    </w:p>
    <w:p>
      <w:pPr>
        <w:pStyle w:val="Normal"/>
        <w:jc w:val="both"/>
        <w:rPr>
          <w:rFonts w:ascii="Times New Roman" w:hAnsi="Times New Roman"/>
        </w:rPr>
      </w:pPr>
      <w:r>
        <w:rPr>
          <w:rFonts w:ascii="Times New Roman" w:hAnsi="Times New Roman"/>
        </w:rPr>
        <w:t>6.1. O contrato deverá ser executado fielmente pelas partes, de acordo com as cláusulas avençadas e as normas da Lei nº 14.133/2021, e cada parte responderá pelas consequências de sua inexecução total ou parcial.</w:t>
      </w:r>
    </w:p>
    <w:p>
      <w:pPr>
        <w:pStyle w:val="Normal"/>
        <w:jc w:val="both"/>
        <w:rPr>
          <w:rFonts w:ascii="Times New Roman" w:hAnsi="Times New Roman"/>
        </w:rPr>
      </w:pPr>
      <w:r>
        <w:rPr>
          <w:rFonts w:ascii="Times New Roman" w:hAnsi="Times New Roman"/>
        </w:rPr>
        <w:t>6.2. Em caso de impedimento, ordem de paralisação ou suspensão do contrato, o cronograma de execução será prorrogado automaticamente pelo tempo correspondente, anotadas tais circunstâncias mediante simples apostila.</w:t>
      </w:r>
    </w:p>
    <w:p>
      <w:pPr>
        <w:pStyle w:val="Normal"/>
        <w:jc w:val="both"/>
        <w:rPr>
          <w:rFonts w:ascii="Times New Roman" w:hAnsi="Times New Roman"/>
        </w:rPr>
      </w:pPr>
      <w:r>
        <w:rPr>
          <w:rFonts w:ascii="Times New Roman" w:hAnsi="Times New Roman"/>
        </w:rPr>
        <w:t>6.3. As comunicações entre o órgão ou entidade e o contratado devem ser realizadas por escrito sempre que o ato exigir tal formalidade, admitindo-se o uso de mensagem eletrônica para esse fim.</w:t>
      </w:r>
    </w:p>
    <w:p>
      <w:pPr>
        <w:pStyle w:val="Normal"/>
        <w:jc w:val="both"/>
        <w:rPr>
          <w:rFonts w:ascii="Times New Roman" w:hAnsi="Times New Roman"/>
        </w:rPr>
      </w:pPr>
      <w:r>
        <w:rPr>
          <w:rFonts w:ascii="Times New Roman" w:hAnsi="Times New Roman"/>
        </w:rPr>
        <w:t>6.4. O órgão ou entidade poderá convocar representante do contratado para adoção de providências que devam ser cumpridas de imediato.</w:t>
      </w:r>
    </w:p>
    <w:p>
      <w:pPr>
        <w:pStyle w:val="Normal"/>
        <w:jc w:val="both"/>
        <w:rPr>
          <w:rFonts w:ascii="Times New Roman" w:hAnsi="Times New Roman"/>
        </w:rPr>
      </w:pPr>
      <w:r>
        <w:rPr>
          <w:rFonts w:ascii="Times New Roman" w:hAnsi="Times New Roman"/>
        </w:rP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pPr>
        <w:pStyle w:val="Normal"/>
        <w:jc w:val="both"/>
        <w:rPr>
          <w:rFonts w:ascii="Times New Roman" w:hAnsi="Times New Roman"/>
        </w:rPr>
      </w:pPr>
      <w:r>
        <w:rPr>
          <w:rFonts w:ascii="Times New Roman" w:hAnsi="Times New Roman"/>
        </w:rPr>
        <w:t>6.6. A execução do contrato deverá ser acompanhada e fiscalizada pelo(s) fiscal(is) do contrato, ou pelos respectivos substitutos, nos termos do caput do art. 117, da Lei nº 14.133/2021.</w:t>
      </w:r>
    </w:p>
    <w:p>
      <w:pPr>
        <w:pStyle w:val="Normal"/>
        <w:jc w:val="both"/>
        <w:rPr>
          <w:rFonts w:ascii="Times New Roman" w:hAnsi="Times New Roman"/>
        </w:rPr>
      </w:pPr>
      <w:r>
        <w:rPr>
          <w:rFonts w:ascii="Times New Roman" w:hAnsi="Times New Roman"/>
        </w:rPr>
        <w:t>6.7. O fiscal técnico do contrato acompanhará a execução do contrato, para que sejam cumpridas todas as condições estabelecidas no contrato, de modo a assegurar os melhores resultados para a Administração.</w:t>
      </w:r>
    </w:p>
    <w:p>
      <w:pPr>
        <w:pStyle w:val="Normal"/>
        <w:jc w:val="both"/>
        <w:rPr>
          <w:rFonts w:ascii="Times New Roman" w:hAnsi="Times New Roman"/>
        </w:rPr>
      </w:pPr>
      <w:r>
        <w:rPr>
          <w:rFonts w:ascii="Times New Roman" w:hAnsi="Times New Roman"/>
        </w:rPr>
        <w:t>6.7.1. O fiscal técnico do contrato anotará no histórico de gerenciamento do contrato todas as ocorrências relacionadas à execução do contrato, com a descrição do que for necessário para a regularização das faltas ou dos defeitos observados.</w:t>
      </w:r>
    </w:p>
    <w:p>
      <w:pPr>
        <w:pStyle w:val="Normal"/>
        <w:jc w:val="both"/>
        <w:rPr>
          <w:rFonts w:ascii="Times New Roman" w:hAnsi="Times New Roman"/>
        </w:rPr>
      </w:pPr>
      <w:r>
        <w:rPr>
          <w:rFonts w:ascii="Times New Roman" w:hAnsi="Times New Roman"/>
        </w:rPr>
        <w:t>6.7.2. Identificada qualquer inexatidão ou irregularidade, o fiscal técnico do contrato emitirá notificações para a correção da execução do contrato, determinando prazo para a correção.</w:t>
      </w:r>
    </w:p>
    <w:p>
      <w:pPr>
        <w:pStyle w:val="Normal"/>
        <w:jc w:val="both"/>
        <w:rPr>
          <w:rFonts w:ascii="Times New Roman" w:hAnsi="Times New Roman"/>
        </w:rPr>
      </w:pPr>
      <w:r>
        <w:rPr>
          <w:rFonts w:ascii="Times New Roman" w:hAnsi="Times New Roman"/>
        </w:rPr>
        <w:t>6.7.3. O fiscal técnico do contrato informará ao gestor do contato, em tempo hábil, a situação que demandar decisão ou adoção de medidas que ultrapassem sua competência, para que adote as medidas necessárias e saneadoras, se for o caso.</w:t>
      </w:r>
    </w:p>
    <w:p>
      <w:pPr>
        <w:pStyle w:val="Normal"/>
        <w:jc w:val="both"/>
        <w:rPr>
          <w:rFonts w:ascii="Times New Roman" w:hAnsi="Times New Roman"/>
        </w:rPr>
      </w:pPr>
      <w:r>
        <w:rPr>
          <w:rFonts w:ascii="Times New Roman" w:hAnsi="Times New Roman"/>
        </w:rPr>
        <w:t>6.7.4 No caso de ocorrências que possam inviabilizar a execução do contrato nas datas aprazadas, o fiscal técnico do contrato comunicará o fato imediatamente ao gestor do contrato.</w:t>
      </w:r>
    </w:p>
    <w:p>
      <w:pPr>
        <w:pStyle w:val="Normal"/>
        <w:jc w:val="both"/>
        <w:rPr>
          <w:rFonts w:ascii="Times New Roman" w:hAnsi="Times New Roman"/>
        </w:rPr>
      </w:pPr>
      <w:r>
        <w:rPr>
          <w:rFonts w:ascii="Times New Roman" w:hAnsi="Times New Roman"/>
        </w:rPr>
        <w:t>6.7.5. O fiscal técnico do contrato comunicará ao gestor do contrato, em tempo hábil, o término do contrato sob sua responsabilidade, com vistas à renovação tempestiva ou à prorrogação contratual.</w:t>
      </w:r>
    </w:p>
    <w:p>
      <w:pPr>
        <w:pStyle w:val="Normal"/>
        <w:jc w:val="both"/>
        <w:rPr>
          <w:rFonts w:ascii="Times New Roman" w:hAnsi="Times New Roman"/>
        </w:rPr>
      </w:pPr>
      <w:r>
        <w:rPr>
          <w:rFonts w:ascii="Times New Roman" w:hAnsi="Times New Roman"/>
        </w:rPr>
        <w:t>6.8. O fiscal administrativo do contrato verificará a manutenção das condições de habilitação do contratado, acompanhará o empenho, o pagamento, as garantias, as glosas e a formalização de apostilamento e termos aditivos, solicitando quaisquer documentos comprobatórios pertinentes, caso necessário.</w:t>
      </w:r>
    </w:p>
    <w:p>
      <w:pPr>
        <w:pStyle w:val="Normal"/>
        <w:jc w:val="both"/>
        <w:rPr>
          <w:rFonts w:ascii="Times New Roman" w:hAnsi="Times New Roman"/>
        </w:rPr>
      </w:pPr>
      <w:r>
        <w:rPr>
          <w:rFonts w:ascii="Times New Roman" w:hAnsi="Times New Roman"/>
        </w:rPr>
        <w:t>6.8.1. Caso ocorram descumprimento das obrigações contratuais, o fiscal administrativo do contrato atuará tempestivamente na solução do problema, reportando ao gestor do contrato para que tome as providências cabíveis, quando ultrapassar a sua competência.</w:t>
      </w:r>
    </w:p>
    <w:p>
      <w:pPr>
        <w:pStyle w:val="Normal"/>
        <w:jc w:val="both"/>
        <w:rPr>
          <w:rFonts w:ascii="Times New Roman" w:hAnsi="Times New Roman"/>
        </w:rPr>
      </w:pPr>
      <w:r>
        <w:rPr>
          <w:rFonts w:ascii="Times New Roman" w:hAnsi="Times New Roman"/>
        </w:rPr>
        <w:t>6.9.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Normal"/>
        <w:jc w:val="both"/>
        <w:rPr>
          <w:rFonts w:ascii="Times New Roman" w:hAnsi="Times New Roman"/>
        </w:rPr>
      </w:pPr>
      <w:r>
        <w:rPr>
          <w:rFonts w:ascii="Times New Roman" w:hAnsi="Times New Roman"/>
        </w:rPr>
        <w:t>6.9.1. O gestor do contrato acompanhará a manutenção das condições de habilitação do contratado, para fins de empenho de despesa e pagamento, e anotará os problemas que obstem o fluxo normal da liquidação e do pagamento da despesa no relatório de riscos eventuais.</w:t>
      </w:r>
    </w:p>
    <w:p>
      <w:pPr>
        <w:pStyle w:val="Normal"/>
        <w:jc w:val="both"/>
        <w:rPr>
          <w:rFonts w:ascii="Times New Roman" w:hAnsi="Times New Roman"/>
        </w:rPr>
      </w:pPr>
      <w:r>
        <w:rPr>
          <w:rFonts w:ascii="Times New Roman" w:hAnsi="Times New Roman"/>
        </w:rPr>
        <w:t>6.9.2. O gestor do contrato acompanhará os registros realizados pelos fiscais do contrato, de todas as ocorrências relacionadas à execução do contrato e as medidas adotadas, informando, se for o caso, à autoridade superior àquelas que ultrapassarem a sua competência.</w:t>
      </w:r>
    </w:p>
    <w:p>
      <w:pPr>
        <w:pStyle w:val="Normal"/>
        <w:jc w:val="both"/>
        <w:rPr>
          <w:rFonts w:ascii="Times New Roman" w:hAnsi="Times New Roman"/>
        </w:rPr>
      </w:pPr>
      <w:r>
        <w:rPr>
          <w:rFonts w:ascii="Times New Roman" w:hAnsi="Times New Roman"/>
        </w:rPr>
        <w:t>6.9.3.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pPr>
        <w:pStyle w:val="Normal"/>
        <w:jc w:val="both"/>
        <w:rPr>
          <w:rFonts w:ascii="Times New Roman" w:hAnsi="Times New Roman"/>
        </w:rPr>
      </w:pPr>
      <w:r>
        <w:rPr>
          <w:rFonts w:ascii="Times New Roman" w:hAnsi="Times New Roman"/>
        </w:rPr>
        <w:t>6.9.4. O gestor do contrato tomará providências para a formalização de processo administrativo de responsabilização para fins de aplicação de sanções, a ser conduzido pela comissão de que trata o art. 158 da Lei nº 14.133/2021, ou pelo agente ou pelo setor com competência para tal, conforme o caso.</w:t>
      </w:r>
    </w:p>
    <w:p>
      <w:pPr>
        <w:pStyle w:val="Normal"/>
        <w:jc w:val="both"/>
        <w:rPr>
          <w:rFonts w:ascii="Times New Roman" w:hAnsi="Times New Roman"/>
        </w:rPr>
      </w:pPr>
      <w:r>
        <w:rPr>
          <w:rFonts w:ascii="Times New Roman" w:hAnsi="Times New Roman"/>
        </w:rPr>
        <w:t>6.10. O fiscal administrativo do contrato comunicará ao gestor do contrato, em tempo hábil, o término do contrato sob sua responsabilidade, com vistas à tempestiva renovação ou prorrogação contratual.</w:t>
      </w:r>
    </w:p>
    <w:p>
      <w:pPr>
        <w:pStyle w:val="Normal"/>
        <w:jc w:val="both"/>
        <w:rPr>
          <w:rFonts w:ascii="Times New Roman" w:hAnsi="Times New Roman"/>
        </w:rPr>
      </w:pPr>
      <w:r>
        <w:rPr>
          <w:rFonts w:ascii="Times New Roman" w:hAnsi="Times New Roman"/>
        </w:rPr>
        <w:t>6.11. O gestor do contrato deverá elaborará relatório final com informações sobre a consecução dos objetivos que tenham justificado a contratação e eventuais condutas a serem adotadas para o aprimoramento das atividades da Administração.</w:t>
      </w:r>
    </w:p>
    <w:p>
      <w:pPr>
        <w:pStyle w:val="Normal"/>
        <w:jc w:val="both"/>
        <w:rPr>
          <w:rFonts w:ascii="Times New Roman" w:hAnsi="Times New Roman"/>
          <w:b/>
          <w:b/>
        </w:rPr>
      </w:pPr>
      <w:r>
        <w:rPr>
          <w:rFonts w:ascii="Times New Roman" w:hAnsi="Times New Roman"/>
          <w:b/>
        </w:rPr>
        <w:t>7. CRITÉRIOS DE MEDIÇÃO E DE PAGAMENTO</w:t>
      </w:r>
    </w:p>
    <w:p>
      <w:pPr>
        <w:pStyle w:val="Normal"/>
        <w:jc w:val="both"/>
        <w:rPr>
          <w:b/>
          <w:b/>
          <w:bCs/>
        </w:rPr>
      </w:pPr>
      <w:r>
        <w:rPr>
          <w:rFonts w:ascii="Times New Roman" w:hAnsi="Times New Roman"/>
          <w:b/>
          <w:bCs/>
        </w:rPr>
        <w:t>7.1. Recebimento do Objeto</w:t>
      </w:r>
    </w:p>
    <w:p>
      <w:pPr>
        <w:pStyle w:val="Normal"/>
        <w:jc w:val="both"/>
        <w:rPr>
          <w:rFonts w:ascii="Times New Roman" w:hAnsi="Times New Roman"/>
        </w:rPr>
      </w:pPr>
      <w:r>
        <w:rPr>
          <w:rFonts w:ascii="Times New Roman" w:hAnsi="Times New Roman"/>
        </w:rPr>
        <w:t>7.1.1.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neste termo e na proposta.</w:t>
      </w:r>
    </w:p>
    <w:p>
      <w:pPr>
        <w:pStyle w:val="Normal"/>
        <w:jc w:val="both"/>
        <w:rPr>
          <w:rFonts w:ascii="Times New Roman" w:hAnsi="Times New Roman"/>
        </w:rPr>
      </w:pPr>
      <w:r>
        <w:rPr>
          <w:rFonts w:ascii="Times New Roman" w:hAnsi="Times New Roman"/>
        </w:rPr>
        <w:t>7.1.2. Os bens poderão ser rejeitados, no todo ou em parte, inclusive antes do recebimento provisório, quando em desacordo com as especificações constantes neste termo e na proposta, devendo ser substituídos no prazo de 02 (dois) dias, a contar da notificação do contratado, às suas custas, sem prejuízo da aplicação das penalidades.</w:t>
      </w:r>
    </w:p>
    <w:p>
      <w:pPr>
        <w:pStyle w:val="Normal"/>
        <w:jc w:val="both"/>
        <w:rPr>
          <w:rFonts w:ascii="Times New Roman" w:hAnsi="Times New Roman"/>
        </w:rPr>
      </w:pPr>
      <w:r>
        <w:rPr>
          <w:rFonts w:ascii="Times New Roman" w:hAnsi="Times New Roman"/>
        </w:rPr>
        <w:t>7.1.3. O recebimento definitivo ocorrerá no prazo de 03 (três) dias, a contar do recebimento da nota fiscal ou instrumento de cobrança equivalente pela Administração, após a verificação da qualidade e quantidade do material e consequente aceitação mediante termo detalhado.</w:t>
      </w:r>
    </w:p>
    <w:p>
      <w:pPr>
        <w:pStyle w:val="Normal"/>
        <w:jc w:val="both"/>
        <w:rPr>
          <w:rFonts w:ascii="Times New Roman" w:hAnsi="Times New Roman"/>
        </w:rPr>
      </w:pPr>
      <w:r>
        <w:rPr>
          <w:rFonts w:ascii="Times New Roman" w:hAnsi="Times New Roman"/>
        </w:rPr>
        <w:t>7.1.4. O prazo para recebimento definitivo poderá ser excepcionalmente prorrogado, de forma justificada, por igual período, quando houver necessidade de diligências para a aferição do atendimento das exigências contratuais.</w:t>
      </w:r>
    </w:p>
    <w:p>
      <w:pPr>
        <w:pStyle w:val="Normal"/>
        <w:jc w:val="both"/>
        <w:rPr>
          <w:rFonts w:ascii="Times New Roman" w:hAnsi="Times New Roman"/>
        </w:rPr>
      </w:pPr>
      <w:r>
        <w:rPr>
          <w:rFonts w:ascii="Times New Roman" w:hAnsi="Times New Roman"/>
        </w:rPr>
        <w:t>7.1.5. No caso de controvérsia sobre a execução do objeto, quanto à qualidade e quantidade, deverá ser observado o teor do art. 143 da Lei nº 14.133/2021, comunicando-se ao contratado para emissão de Nota Fiscal no que pertine à parcela incontroversa da execução do objeto, para efeito de liquidação e pagamento.</w:t>
      </w:r>
    </w:p>
    <w:p>
      <w:pPr>
        <w:pStyle w:val="Normal"/>
        <w:jc w:val="both"/>
        <w:rPr>
          <w:rFonts w:ascii="Times New Roman" w:hAnsi="Times New Roman"/>
        </w:rPr>
      </w:pPr>
      <w:r>
        <w:rPr>
          <w:rFonts w:ascii="Times New Roman" w:hAnsi="Times New Roman"/>
        </w:rPr>
        <w:t>7.1.6.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Normal"/>
        <w:jc w:val="both"/>
        <w:rPr>
          <w:rFonts w:ascii="Times New Roman" w:hAnsi="Times New Roman"/>
        </w:rPr>
      </w:pPr>
      <w:r>
        <w:rPr>
          <w:rFonts w:ascii="Times New Roman" w:hAnsi="Times New Roman"/>
        </w:rPr>
        <w:t>7.1.7. O recebimento provisório ou definitivo não excluirá a responsabilidade civil pela solidez e pela segurança dos bens objeto da contratação, nem a responsabilidade ético-profissional pela perfeita execução do contrato.</w:t>
      </w:r>
    </w:p>
    <w:p>
      <w:pPr>
        <w:pStyle w:val="Normal"/>
        <w:jc w:val="both"/>
        <w:rPr>
          <w:b/>
          <w:b/>
          <w:bCs/>
        </w:rPr>
      </w:pPr>
      <w:r>
        <w:rPr>
          <w:rFonts w:ascii="Times New Roman" w:hAnsi="Times New Roman"/>
          <w:b/>
          <w:bCs/>
        </w:rPr>
        <w:t>7.2. Liquidação</w:t>
      </w:r>
    </w:p>
    <w:p>
      <w:pPr>
        <w:pStyle w:val="Normal"/>
        <w:jc w:val="both"/>
        <w:rPr>
          <w:rFonts w:ascii="Times New Roman" w:hAnsi="Times New Roman"/>
        </w:rPr>
      </w:pPr>
      <w:r>
        <w:rPr>
          <w:rFonts w:ascii="Times New Roman" w:hAnsi="Times New Roman"/>
        </w:rPr>
        <w:t>7.2.1. Recebida a Nota Fiscal ou documento de cobrança equivalente, correrá o prazo de 10 (dez) dias úteis para fins de liquidação, prorrogáveis por igual período.</w:t>
      </w:r>
    </w:p>
    <w:p>
      <w:pPr>
        <w:pStyle w:val="Normal"/>
        <w:jc w:val="both"/>
        <w:rPr>
          <w:rFonts w:ascii="Times New Roman" w:hAnsi="Times New Roman"/>
        </w:rPr>
      </w:pPr>
      <w:r>
        <w:rPr>
          <w:rFonts w:ascii="Times New Roman" w:hAnsi="Times New Roman"/>
        </w:rPr>
        <w:t>7.2.1.1. O prazo de que trata o item anterior será reduzido à metade, mantendo-se a possibilidade de prorrogação, no caso de contratações decorrentes de despesas cujos valores não ultrapassem o limite de que trata o inciso II do art. 75 da Lei nº 14.133/2021.</w:t>
      </w:r>
    </w:p>
    <w:p>
      <w:pPr>
        <w:pStyle w:val="Normal"/>
        <w:jc w:val="both"/>
        <w:rPr>
          <w:rFonts w:ascii="Times New Roman" w:hAnsi="Times New Roman"/>
        </w:rPr>
      </w:pPr>
      <w:r>
        <w:rPr>
          <w:rFonts w:ascii="Times New Roman" w:hAnsi="Times New Roman"/>
        </w:rPr>
        <w:t>7.2.2. Para fins de liquidação, o setor competente deverá verificar se a nota fiscal ou instrumento de cobrança equivalente apresentado expressa os elementos necessários e essenciais do documento, tais como:</w:t>
      </w:r>
    </w:p>
    <w:p>
      <w:pPr>
        <w:pStyle w:val="Normal"/>
        <w:jc w:val="both"/>
        <w:rPr>
          <w:rFonts w:ascii="Times New Roman" w:hAnsi="Times New Roman"/>
        </w:rPr>
      </w:pPr>
      <w:r>
        <w:rPr>
          <w:rFonts w:ascii="Times New Roman" w:hAnsi="Times New Roman"/>
        </w:rPr>
        <w:t>a) o prazo de validade;</w:t>
      </w:r>
    </w:p>
    <w:p>
      <w:pPr>
        <w:pStyle w:val="Normal"/>
        <w:jc w:val="both"/>
        <w:rPr>
          <w:rFonts w:ascii="Times New Roman" w:hAnsi="Times New Roman"/>
        </w:rPr>
      </w:pPr>
      <w:r>
        <w:rPr>
          <w:rFonts w:ascii="Times New Roman" w:hAnsi="Times New Roman"/>
        </w:rPr>
        <w:t>b) a data da emissão;</w:t>
      </w:r>
    </w:p>
    <w:p>
      <w:pPr>
        <w:pStyle w:val="Normal"/>
        <w:jc w:val="both"/>
        <w:rPr>
          <w:rFonts w:ascii="Times New Roman" w:hAnsi="Times New Roman"/>
        </w:rPr>
      </w:pPr>
      <w:r>
        <w:rPr>
          <w:rFonts w:ascii="Times New Roman" w:hAnsi="Times New Roman"/>
        </w:rPr>
        <w:t>c) os dados do contrato e do órgão contratante;</w:t>
      </w:r>
    </w:p>
    <w:p>
      <w:pPr>
        <w:pStyle w:val="Normal"/>
        <w:jc w:val="both"/>
        <w:rPr>
          <w:rFonts w:ascii="Times New Roman" w:hAnsi="Times New Roman"/>
        </w:rPr>
      </w:pPr>
      <w:r>
        <w:rPr>
          <w:rFonts w:ascii="Times New Roman" w:hAnsi="Times New Roman"/>
        </w:rPr>
        <w:t>d) o período respectivo de execução do contrato;</w:t>
      </w:r>
    </w:p>
    <w:p>
      <w:pPr>
        <w:pStyle w:val="Normal"/>
        <w:jc w:val="both"/>
        <w:rPr>
          <w:rFonts w:ascii="Times New Roman" w:hAnsi="Times New Roman"/>
        </w:rPr>
      </w:pPr>
      <w:r>
        <w:rPr>
          <w:rFonts w:ascii="Times New Roman" w:hAnsi="Times New Roman"/>
        </w:rPr>
        <w:t>e) o valor a pagar; e</w:t>
      </w:r>
    </w:p>
    <w:p>
      <w:pPr>
        <w:pStyle w:val="Normal"/>
        <w:jc w:val="both"/>
        <w:rPr>
          <w:rFonts w:ascii="Times New Roman" w:hAnsi="Times New Roman"/>
        </w:rPr>
      </w:pPr>
      <w:r>
        <w:rPr>
          <w:rFonts w:ascii="Times New Roman" w:hAnsi="Times New Roman"/>
        </w:rPr>
        <w:t>f) eventual destaque do valor de retenções tributárias cabíveis.</w:t>
      </w:r>
    </w:p>
    <w:p>
      <w:pPr>
        <w:pStyle w:val="Normal"/>
        <w:jc w:val="both"/>
        <w:rPr>
          <w:rFonts w:ascii="Times New Roman" w:hAnsi="Times New Roman"/>
        </w:rPr>
      </w:pPr>
      <w:r>
        <w:rPr>
          <w:rFonts w:ascii="Times New Roman" w:hAnsi="Times New Roman"/>
        </w:rPr>
        <w:t>7.2.3.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pPr>
        <w:pStyle w:val="Normal"/>
        <w:jc w:val="both"/>
        <w:rPr>
          <w:rFonts w:ascii="Times New Roman" w:hAnsi="Times New Roman"/>
        </w:rPr>
      </w:pPr>
      <w:r>
        <w:rPr>
          <w:rFonts w:ascii="Times New Roman" w:hAnsi="Times New Roman"/>
        </w:rPr>
        <w:t xml:space="preserve">7.2.4.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14.133/2021. </w:t>
      </w:r>
    </w:p>
    <w:p>
      <w:pPr>
        <w:pStyle w:val="Normal"/>
        <w:jc w:val="both"/>
        <w:rPr>
          <w:rFonts w:ascii="Times New Roman" w:hAnsi="Times New Roman"/>
        </w:rPr>
      </w:pPr>
      <w:r>
        <w:rPr>
          <w:rFonts w:ascii="Times New Roman" w:hAnsi="Times New Roman"/>
        </w:rPr>
        <w:t>7.2.5. 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pPr>
        <w:pStyle w:val="Normal"/>
        <w:jc w:val="both"/>
        <w:rPr>
          <w:rFonts w:ascii="Times New Roman" w:hAnsi="Times New Roman"/>
        </w:rPr>
      </w:pPr>
      <w:r>
        <w:rPr>
          <w:rFonts w:ascii="Times New Roman" w:hAnsi="Times New Roman"/>
        </w:rPr>
        <w:t>7.2.6.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Normal"/>
        <w:jc w:val="both"/>
        <w:rPr>
          <w:rFonts w:ascii="Times New Roman" w:hAnsi="Times New Roman"/>
        </w:rPr>
      </w:pPr>
      <w:r>
        <w:rPr>
          <w:rFonts w:ascii="Times New Roman" w:hAnsi="Times New Roman"/>
        </w:rPr>
        <w:t>7.2.7.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pPr>
        <w:pStyle w:val="Normal"/>
        <w:jc w:val="both"/>
        <w:rPr>
          <w:rFonts w:ascii="Times New Roman" w:hAnsi="Times New Roman"/>
        </w:rPr>
      </w:pPr>
      <w:r>
        <w:rPr>
          <w:rFonts w:ascii="Times New Roman" w:hAnsi="Times New Roman"/>
        </w:rPr>
        <w:t>7.2.8. Persistindo a irregularidade, o contratante deverá adotar as medidas necessárias à rescisão contratual nos autos do processo administrativo correspondente, assegurada ao contratado a ampla defesa.</w:t>
      </w:r>
    </w:p>
    <w:p>
      <w:pPr>
        <w:pStyle w:val="Normal"/>
        <w:jc w:val="both"/>
        <w:rPr>
          <w:rFonts w:ascii="Times New Roman" w:hAnsi="Times New Roman"/>
        </w:rPr>
      </w:pPr>
      <w:r>
        <w:rPr>
          <w:rFonts w:ascii="Times New Roman" w:hAnsi="Times New Roman"/>
        </w:rPr>
        <w:t>7.2.9. Havendo a efetiva execução do objeto, os pagamentos serão realizados normalmente, até que se decida pela rescisão do contrato, caso o contratado não regularize sua situação.</w:t>
      </w:r>
    </w:p>
    <w:p>
      <w:pPr>
        <w:pStyle w:val="Normal"/>
        <w:jc w:val="both"/>
        <w:rPr>
          <w:b/>
          <w:b/>
          <w:bCs/>
        </w:rPr>
      </w:pPr>
      <w:r>
        <w:rPr>
          <w:rFonts w:ascii="Times New Roman" w:hAnsi="Times New Roman"/>
          <w:b/>
          <w:bCs/>
        </w:rPr>
        <w:t>7.3. Prazo de pagamento</w:t>
      </w:r>
    </w:p>
    <w:p>
      <w:pPr>
        <w:pStyle w:val="Normal"/>
        <w:jc w:val="both"/>
        <w:rPr>
          <w:rFonts w:ascii="Times New Roman" w:hAnsi="Times New Roman"/>
        </w:rPr>
      </w:pPr>
      <w:r>
        <w:rPr>
          <w:rFonts w:ascii="Times New Roman" w:hAnsi="Times New Roman"/>
        </w:rPr>
        <w:t>7.3.1. O pagamento será efetuado no prazo de até 15 (quinze) dias úteis contados da finalização da liquidação da despesa.</w:t>
      </w:r>
    </w:p>
    <w:p>
      <w:pPr>
        <w:pStyle w:val="Normal"/>
        <w:jc w:val="both"/>
        <w:rPr>
          <w:rFonts w:ascii="Times New Roman" w:hAnsi="Times New Roman"/>
        </w:rPr>
      </w:pPr>
      <w:r>
        <w:rPr>
          <w:rFonts w:ascii="Times New Roman" w:hAnsi="Times New Roman"/>
        </w:rPr>
        <w:t>7.3.2. No caso de atraso pelo contratante, os valores devidos ao contratado serão atualizados monetariamente entre o termo final do prazo de pagamento até a data de sua efetiva realização, mediante aplicação do índice IPCA  (pode usar para todos os contratos) de correção monetária.</w:t>
      </w:r>
    </w:p>
    <w:p>
      <w:pPr>
        <w:pStyle w:val="Normal"/>
        <w:jc w:val="both"/>
        <w:rPr>
          <w:b/>
          <w:b/>
          <w:bCs/>
        </w:rPr>
      </w:pPr>
      <w:r>
        <w:rPr>
          <w:rFonts w:ascii="Times New Roman" w:hAnsi="Times New Roman"/>
          <w:b/>
          <w:bCs/>
        </w:rPr>
        <w:t>7.4. Forma de pagamento</w:t>
      </w:r>
    </w:p>
    <w:p>
      <w:pPr>
        <w:pStyle w:val="Normal"/>
        <w:jc w:val="both"/>
        <w:rPr>
          <w:rFonts w:ascii="Times New Roman" w:hAnsi="Times New Roman"/>
        </w:rPr>
      </w:pPr>
      <w:r>
        <w:rPr>
          <w:rFonts w:ascii="Times New Roman" w:hAnsi="Times New Roman"/>
        </w:rPr>
        <w:t>7.4.1. O pagamento será realizado mediante crédito em conta corrente do contratado, exclusivamente no Banco Bradesco S/A, conforme Lei nº 15.241/2012.</w:t>
      </w:r>
    </w:p>
    <w:p>
      <w:pPr>
        <w:pStyle w:val="Normal"/>
        <w:jc w:val="both"/>
        <w:rPr>
          <w:rFonts w:ascii="Times New Roman" w:hAnsi="Times New Roman"/>
        </w:rPr>
      </w:pPr>
      <w:r>
        <w:rPr>
          <w:rFonts w:ascii="Times New Roman" w:hAnsi="Times New Roman"/>
        </w:rPr>
        <w:t>7.4.2. Será considerada data do pagamento o dia em que constar como emitida a ordem bancária para pagamento.</w:t>
      </w:r>
    </w:p>
    <w:p>
      <w:pPr>
        <w:pStyle w:val="Normal"/>
        <w:jc w:val="both"/>
        <w:rPr>
          <w:rFonts w:ascii="Times New Roman" w:hAnsi="Times New Roman"/>
        </w:rPr>
      </w:pPr>
      <w:r>
        <w:rPr>
          <w:rFonts w:ascii="Times New Roman" w:hAnsi="Times New Roman"/>
        </w:rPr>
        <w:t>7.4.3. Quando do pagamento, será efetuada a retenção tributária prevista na legislação aplicável.</w:t>
      </w:r>
    </w:p>
    <w:p>
      <w:pPr>
        <w:pStyle w:val="Normal"/>
        <w:jc w:val="both"/>
        <w:rPr>
          <w:rFonts w:ascii="Times New Roman" w:hAnsi="Times New Roman"/>
        </w:rPr>
      </w:pPr>
      <w:r>
        <w:rPr>
          <w:rFonts w:ascii="Times New Roman" w:hAnsi="Times New Roman"/>
        </w:rPr>
        <w:t>7.4.3.1. Independentemente do percentual de tributo inserido na planilha, quando houver, serão retidos na fonte, quando da realização do pagamento, os percentuais estabelecidos na legislação vigente.</w:t>
      </w:r>
    </w:p>
    <w:p>
      <w:pPr>
        <w:pStyle w:val="Normal"/>
        <w:jc w:val="both"/>
        <w:rPr>
          <w:rFonts w:ascii="Times New Roman" w:hAnsi="Times New Roman"/>
        </w:rPr>
      </w:pPr>
      <w:r>
        <w:rPr>
          <w:rFonts w:ascii="Times New Roman" w:hAnsi="Times New Roman"/>
        </w:rPr>
        <w:t>7.4.4. 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jc w:val="both"/>
        <w:rPr>
          <w:rFonts w:ascii="Times New Roman" w:hAnsi="Times New Roman"/>
        </w:rPr>
      </w:pPr>
      <w:r>
        <w:rPr>
          <w:rFonts w:ascii="Times New Roman" w:hAnsi="Times New Roman"/>
        </w:rPr>
        <w:t>7.5. Antecipação de pagamento</w:t>
      </w:r>
    </w:p>
    <w:p>
      <w:pPr>
        <w:pStyle w:val="Normal"/>
        <w:jc w:val="both"/>
        <w:rPr>
          <w:rFonts w:ascii="Times New Roman" w:hAnsi="Times New Roman"/>
        </w:rPr>
      </w:pPr>
      <w:r>
        <w:rPr>
          <w:rFonts w:ascii="Times New Roman" w:hAnsi="Times New Roman"/>
        </w:rPr>
        <w:t>7.5.1. É vedada a realização de pagamento antes da execução do objeto ou se o mesmo não estiver de acordo com as especificações deste instrumento</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b/>
        </w:rPr>
      </w:pPr>
      <w:bookmarkStart w:id="0" w:name="_GoBack"/>
      <w:bookmarkEnd w:id="0"/>
      <w:r>
        <w:rPr>
          <w:rFonts w:ascii="Times New Roman" w:hAnsi="Times New Roman"/>
          <w:b/>
        </w:rPr>
        <w:t>8. FORMA E CRITÉRIOS DE SELEÇÃO DO FORNECEDOR</w:t>
      </w:r>
    </w:p>
    <w:p>
      <w:pPr>
        <w:pStyle w:val="Normal"/>
        <w:jc w:val="both"/>
        <w:rPr>
          <w:rFonts w:ascii="Times New Roman" w:hAnsi="Times New Roman"/>
        </w:rPr>
      </w:pPr>
      <w:r>
        <w:rPr>
          <w:rFonts w:ascii="Times New Roman" w:hAnsi="Times New Roman"/>
        </w:rPr>
        <w:t>8.1. Forma de seleção e critério de julgamento da proposta</w:t>
      </w:r>
    </w:p>
    <w:p>
      <w:pPr>
        <w:pStyle w:val="Normal"/>
        <w:rPr>
          <w:rFonts w:ascii="Times New Roman" w:hAnsi="Times New Roman"/>
        </w:rPr>
      </w:pPr>
      <w:r>
        <w:rPr>
          <w:rFonts w:ascii="Times New Roman" w:hAnsi="Times New Roman"/>
        </w:rPr>
        <w:t>8.1.1. O fornecedor será selecionado por meio de</w:t>
      </w:r>
      <w:r>
        <w:rPr>
          <w:rFonts w:ascii="Times New Roman" w:hAnsi="Times New Roman"/>
          <w:color w:val="C9211E"/>
        </w:rPr>
        <w:t xml:space="preserve"> </w:t>
      </w:r>
      <w:r>
        <w:rPr>
          <w:rFonts w:ascii="Times New Roman" w:hAnsi="Times New Roman"/>
        </w:rPr>
        <w:t>DISPENSA DE LICITAÇÃO, com adoção do critério de julgamento pelo MENOR PREÇO, nos termos do art. 75, inciso III, alínea “a” da Lei 14.133/21.</w:t>
      </w:r>
    </w:p>
    <w:p>
      <w:pPr>
        <w:pStyle w:val="Normal"/>
        <w:jc w:val="both"/>
        <w:rPr>
          <w:rFonts w:ascii="Times New Roman" w:hAnsi="Times New Roman"/>
        </w:rPr>
      </w:pPr>
      <w:r>
        <w:rPr>
          <w:rFonts w:ascii="Times New Roman" w:hAnsi="Times New Roman"/>
        </w:rPr>
        <w:t>8.2. Para fins de habilitação, deverá o licitante comprovar os seguintes requisitos:</w:t>
      </w:r>
    </w:p>
    <w:p>
      <w:pPr>
        <w:pStyle w:val="Normal"/>
        <w:jc w:val="both"/>
        <w:rPr>
          <w:b/>
          <w:b/>
          <w:bCs/>
        </w:rPr>
      </w:pPr>
      <w:r>
        <w:rPr>
          <w:rFonts w:ascii="Times New Roman" w:hAnsi="Times New Roman"/>
          <w:b/>
          <w:bCs/>
        </w:rPr>
        <w:t>8.2.1. Habilitação jurídica</w:t>
      </w:r>
    </w:p>
    <w:p>
      <w:pPr>
        <w:pStyle w:val="Normal"/>
        <w:jc w:val="both"/>
        <w:rPr>
          <w:rFonts w:ascii="Times New Roman" w:hAnsi="Times New Roman"/>
        </w:rPr>
      </w:pPr>
      <w:r>
        <w:rPr>
          <w:rFonts w:ascii="Times New Roman" w:hAnsi="Times New Roman"/>
        </w:rPr>
        <w:t>8.2.1.1. Pessoa física: cédula de identidade (RG) ou documento equivalente que, por força de lei, tenha validade para fins de identificação em todo o território nacional;</w:t>
      </w:r>
    </w:p>
    <w:p>
      <w:pPr>
        <w:pStyle w:val="Normal"/>
        <w:jc w:val="both"/>
        <w:rPr>
          <w:rFonts w:ascii="Times New Roman" w:hAnsi="Times New Roman"/>
        </w:rPr>
      </w:pPr>
      <w:r>
        <w:rPr>
          <w:rFonts w:ascii="Times New Roman" w:hAnsi="Times New Roman"/>
        </w:rPr>
        <w:t>8.2.1.2. Empresário individual: inscrição no Registro Público de Empresas Mercantis, a cargo da Junta Comercial da respectiva sede;</w:t>
      </w:r>
    </w:p>
    <w:p>
      <w:pPr>
        <w:pStyle w:val="Normal"/>
        <w:jc w:val="both"/>
        <w:rPr>
          <w:rFonts w:ascii="Times New Roman" w:hAnsi="Times New Roman"/>
        </w:rPr>
      </w:pPr>
      <w:r>
        <w:rPr>
          <w:rFonts w:ascii="Times New Roman" w:hAnsi="Times New Roman"/>
        </w:rPr>
        <w:t>8.2.1.3. Microempreendedor Individual - MEI: Certificado da Condição de Microempreendedor Individual - CCMEI, cuja aceitação ficará condicionada à verificação da autenticidade no sítio https://www.gov.br/empresas-e-negocios/pt-br/empreendedor;</w:t>
      </w:r>
    </w:p>
    <w:p>
      <w:pPr>
        <w:pStyle w:val="Normal"/>
        <w:jc w:val="both"/>
        <w:rPr>
          <w:rFonts w:ascii="Times New Roman" w:hAnsi="Times New Roman"/>
        </w:rPr>
      </w:pPr>
      <w:r>
        <w:rPr>
          <w:rFonts w:ascii="Times New Roman" w:hAnsi="Times New Roman"/>
        </w:rPr>
        <w:t>8.2.1.4.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ormal"/>
        <w:jc w:val="both"/>
        <w:rPr>
          <w:rFonts w:ascii="Times New Roman" w:hAnsi="Times New Roman"/>
        </w:rPr>
      </w:pPr>
      <w:r>
        <w:rPr>
          <w:rFonts w:ascii="Times New Roman" w:hAnsi="Times New Roman"/>
        </w:rPr>
        <w:t>8.2.1.5. Sociedade simples: inscrição do ato constitutivo no Registro Civil de Pessoas Jurídicas do local de sua sede, acompanhada de documento comprobatório de seus administradores;</w:t>
      </w:r>
    </w:p>
    <w:p>
      <w:pPr>
        <w:pStyle w:val="Corpodotexto"/>
        <w:spacing w:lineRule="auto" w:line="240" w:before="57" w:after="57"/>
        <w:ind w:left="11" w:hanging="0"/>
        <w:jc w:val="both"/>
        <w:rPr>
          <w:rFonts w:ascii="Times New Roman" w:hAnsi="Times New Roman"/>
        </w:rPr>
      </w:pPr>
      <w:r>
        <w:rPr>
          <w:rFonts w:ascii="Times New Roman" w:hAnsi="Times New Roman"/>
        </w:rPr>
        <w:t xml:space="preserve">8.2.1.6.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1" w:name="_Int_ySfCXwr4"/>
      <w:r>
        <w:rPr>
          <w:rFonts w:ascii="Times New Roman" w:hAnsi="Times New Roman"/>
        </w:rPr>
        <w:t>Mercantis onde</w:t>
      </w:r>
      <w:bookmarkEnd w:id="1"/>
      <w:r>
        <w:rPr>
          <w:rFonts w:ascii="Times New Roman" w:hAnsi="Times New Roman"/>
        </w:rPr>
        <w:t xml:space="preserve"> opera, com averbação no Registro onde tem sede a matriz;</w:t>
      </w:r>
    </w:p>
    <w:p>
      <w:pPr>
        <w:pStyle w:val="Corpodotexto"/>
        <w:spacing w:lineRule="auto" w:line="240" w:before="57" w:after="57"/>
        <w:ind w:left="11" w:hanging="0"/>
        <w:jc w:val="both"/>
        <w:rPr>
          <w:rFonts w:ascii="Times New Roman" w:hAnsi="Times New Roman"/>
        </w:rPr>
      </w:pPr>
      <w:r>
        <w:rPr>
          <w:rFonts w:ascii="Times New Roman" w:hAnsi="Times New Roman"/>
        </w:rPr>
        <w:t xml:space="preserve">8.2.1.7. Sociedade cooperativa: ata de fundação e estatuto social, com a ata da assembleia que o aprovou, devidamente arquivado na Junta Comercial ou inscrito no Registro Civil das Pessoas Jurídicas da respectiva sede, além do registro de que trata o </w:t>
      </w:r>
      <w:r>
        <w:rPr/>
        <w:t>art. 107 da Lei nº 5.764/1971;</w:t>
      </w:r>
    </w:p>
    <w:p>
      <w:pPr>
        <w:pStyle w:val="Corpodotexto"/>
        <w:spacing w:lineRule="auto" w:line="240" w:before="57" w:after="57"/>
        <w:ind w:left="11" w:hanging="0"/>
        <w:jc w:val="both"/>
        <w:rPr>
          <w:rFonts w:ascii="Times New Roman" w:hAnsi="Times New Roman"/>
        </w:rPr>
      </w:pPr>
      <w:r>
        <w:rPr>
          <w:rFonts w:ascii="Times New Roman" w:hAnsi="Times New Roman"/>
        </w:rPr>
        <w:t>8.2.1.8. Agricultor familiar: Declaração de Aptidão ao Pronaf – DAP ou DAP-P válida, ou, ainda, outros documentos definidos pela Secretaria Especial de Agricultura Familiar e do Desenvolvimento Agrário, nos termos do</w:t>
      </w:r>
      <w:r>
        <w:rPr/>
        <w:t xml:space="preserve"> art. 2º, do Decreto Estadual nº 32.315/2017;</w:t>
      </w:r>
    </w:p>
    <w:p>
      <w:pPr>
        <w:pStyle w:val="Corpodotexto"/>
        <w:spacing w:lineRule="auto" w:line="240" w:before="57" w:after="57"/>
        <w:ind w:left="11" w:hanging="0"/>
        <w:jc w:val="both"/>
        <w:rPr>
          <w:rFonts w:ascii="Times New Roman" w:hAnsi="Times New Roman"/>
        </w:rPr>
      </w:pPr>
      <w:r>
        <w:rPr>
          <w:rFonts w:ascii="Times New Roman" w:hAnsi="Times New Roman"/>
        </w:rPr>
        <w:t>8.2.1.9. Produtor Rural: matrícula no Cadastro Específico do INSS – CEI, que comprove a qualificação como produtor rural pessoa física, nos termos da Instrução Normativa RFB n. 971, de 13 de novembro de 2009.</w:t>
      </w:r>
    </w:p>
    <w:p>
      <w:pPr>
        <w:pStyle w:val="Normal"/>
        <w:jc w:val="both"/>
        <w:rPr>
          <w:rFonts w:ascii="Times New Roman" w:hAnsi="Times New Roman"/>
        </w:rPr>
      </w:pPr>
      <w:r>
        <w:rPr>
          <w:rFonts w:ascii="Times New Roman" w:hAnsi="Times New Roman"/>
        </w:rPr>
        <w:t>8.2.1.10. Os documentos apresentados deverão estar acompanhados de todas as alterações ou da consolidação respectiva.</w:t>
      </w:r>
    </w:p>
    <w:p>
      <w:pPr>
        <w:pStyle w:val="Normal"/>
        <w:jc w:val="both"/>
        <w:rPr>
          <w:b/>
          <w:b/>
          <w:bCs/>
        </w:rPr>
      </w:pPr>
      <w:r>
        <w:rPr>
          <w:rFonts w:ascii="Times New Roman" w:hAnsi="Times New Roman"/>
          <w:b/>
          <w:bCs/>
        </w:rPr>
        <w:t>8.2.2. Habilitação fiscal, social e trabalhista</w:t>
      </w:r>
    </w:p>
    <w:p>
      <w:pPr>
        <w:pStyle w:val="Normal"/>
        <w:jc w:val="both"/>
        <w:rPr>
          <w:rFonts w:ascii="Times New Roman" w:hAnsi="Times New Roman"/>
        </w:rPr>
      </w:pPr>
      <w:r>
        <w:rPr>
          <w:rFonts w:ascii="Times New Roman" w:hAnsi="Times New Roman"/>
        </w:rPr>
        <w:t>8.2.2.1. Prova de inscrição no Cadastro Nacional de Pessoas Jurídicas ou no Cadastro de Pessoas Físicas, conforme o caso;</w:t>
      </w:r>
    </w:p>
    <w:p>
      <w:pPr>
        <w:pStyle w:val="Normal"/>
        <w:jc w:val="both"/>
        <w:rPr>
          <w:rFonts w:ascii="Times New Roman" w:hAnsi="Times New Roman"/>
        </w:rPr>
      </w:pPr>
      <w:r>
        <w:rPr>
          <w:rFonts w:ascii="Times New Roman" w:hAnsi="Times New Roman"/>
        </w:rPr>
        <w:t>8.2.2.2.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Normal"/>
        <w:jc w:val="both"/>
        <w:rPr>
          <w:rFonts w:ascii="Times New Roman" w:hAnsi="Times New Roman"/>
        </w:rPr>
      </w:pPr>
      <w:r>
        <w:rPr>
          <w:rFonts w:ascii="Times New Roman" w:hAnsi="Times New Roman"/>
        </w:rPr>
        <w:t>8.2.2.3. Prova de regularidade com o Fundo de Garantia do Tempo de Serviço (FGTS);</w:t>
      </w:r>
    </w:p>
    <w:p>
      <w:pPr>
        <w:pStyle w:val="Normal"/>
        <w:jc w:val="both"/>
        <w:rPr>
          <w:rFonts w:ascii="Times New Roman" w:hAnsi="Times New Roman"/>
        </w:rPr>
      </w:pPr>
      <w:r>
        <w:rPr>
          <w:rFonts w:ascii="Times New Roman" w:hAnsi="Times New Roman"/>
        </w:rPr>
        <w:t>8.2.2.4. Prova de inexistência de débitos inadimplidos perante a Justiça do Trabalho, mediante a apresentação de certidão negativa ou positiva com efeito de negativa, nos termos do Título VII-A da Consolidação das Leis do Trabalho, aprovada pelo Decreto-Lei nº 5.452/1943;</w:t>
      </w:r>
    </w:p>
    <w:p>
      <w:pPr>
        <w:pStyle w:val="Normal"/>
        <w:jc w:val="both"/>
        <w:rPr>
          <w:rFonts w:ascii="Times New Roman" w:hAnsi="Times New Roman"/>
        </w:rPr>
      </w:pPr>
      <w:r>
        <w:rPr>
          <w:rFonts w:ascii="Times New Roman" w:hAnsi="Times New Roman"/>
        </w:rPr>
        <w:t>8.2.2.4. Prova de inexistência de débitos inadimplidos perante a Justiça do Trabalho, mediante a apresentação de certidão negativa ou positiva com efeito de negativa, nos termos do Título VII-A da Consolidação das Leis do Trabalho, aprovada pelo Decreto-Lei nº 5.452/1943;</w:t>
      </w:r>
    </w:p>
    <w:p>
      <w:pPr>
        <w:pStyle w:val="Normal"/>
        <w:jc w:val="both"/>
        <w:rPr>
          <w:rFonts w:ascii="Times New Roman" w:hAnsi="Times New Roman"/>
        </w:rPr>
      </w:pPr>
      <w:r>
        <w:rPr>
          <w:rFonts w:ascii="Times New Roman" w:hAnsi="Times New Roman"/>
        </w:rPr>
        <w:t>8.2.2.5. Prova de inscrição no cadastro de contribuintes Estadual relativo ao domicílio ou sede do fornecedor, pertinente ao seu ramo de atividade e compatível com o objeto contratual;</w:t>
      </w:r>
    </w:p>
    <w:p>
      <w:pPr>
        <w:pStyle w:val="Normal"/>
        <w:jc w:val="both"/>
        <w:rPr>
          <w:rFonts w:ascii="Times New Roman" w:hAnsi="Times New Roman"/>
        </w:rPr>
      </w:pPr>
      <w:r>
        <w:rPr>
          <w:rFonts w:ascii="Times New Roman" w:hAnsi="Times New Roman"/>
        </w:rPr>
        <w:t>8.2.2.6. Prova de regularidade com a Fazenda Estadual do domicílio ou sede do fornecedor, relativa à atividade em cujo exercício contrata ou concorre;</w:t>
      </w:r>
    </w:p>
    <w:p>
      <w:pPr>
        <w:pStyle w:val="Normal"/>
        <w:jc w:val="both"/>
        <w:rPr>
          <w:rFonts w:ascii="Times New Roman" w:hAnsi="Times New Roman"/>
        </w:rPr>
      </w:pPr>
      <w:r>
        <w:rPr>
          <w:rFonts w:ascii="Times New Roman" w:hAnsi="Times New Roman"/>
        </w:rPr>
        <w:t>8.2.2.7. Caso o licitante seja considerado isento dos tributos Estaduais relacionados ao objeto contratual, deverá comprovar tal condição mediante a apresentação de declaração da Fazenda respectiva do seu domicílio ou sede, ou outra equivalente, na forma da lei</w:t>
      </w:r>
      <w:r>
        <w:rPr>
          <w:rFonts w:ascii="Times New Roman" w:hAnsi="Times New Roman"/>
          <w:color w:val="C9211E"/>
        </w:rPr>
        <w:t>.</w:t>
      </w:r>
    </w:p>
    <w:p>
      <w:pPr>
        <w:pStyle w:val="Normal"/>
        <w:jc w:val="both"/>
        <w:rPr>
          <w:b/>
          <w:b/>
          <w:bCs/>
        </w:rPr>
      </w:pPr>
      <w:r>
        <w:rPr>
          <w:rFonts w:ascii="Times New Roman" w:hAnsi="Times New Roman"/>
          <w:b/>
          <w:bCs/>
        </w:rPr>
        <w:t>8.2.3. Qualificação Econômico-Financeira</w:t>
      </w:r>
    </w:p>
    <w:p>
      <w:pPr>
        <w:pStyle w:val="Normal"/>
        <w:jc w:val="both"/>
        <w:rPr>
          <w:rFonts w:ascii="Times New Roman" w:hAnsi="Times New Roman"/>
        </w:rPr>
      </w:pPr>
      <w:r>
        <w:rPr>
          <w:rFonts w:ascii="Times New Roman" w:hAnsi="Times New Roman"/>
        </w:rPr>
        <w:t>8.2.3.1. Certidão negativa de insolvência civil expedida pelo distribuidor do domicílio ou sede do licitante, caso se trate de pessoa física;</w:t>
      </w:r>
    </w:p>
    <w:p>
      <w:pPr>
        <w:pStyle w:val="Normal"/>
        <w:jc w:val="both"/>
        <w:rPr>
          <w:rFonts w:ascii="Times New Roman" w:hAnsi="Times New Roman"/>
        </w:rPr>
      </w:pPr>
      <w:r>
        <w:rPr>
          <w:rFonts w:ascii="Times New Roman" w:hAnsi="Times New Roman"/>
        </w:rPr>
        <w:t>8.2.3.2. Certidão negativa de falência expedida pelo distribuidor da sede do fornecedor nos termos do art. 69, caput, inciso II da Lei nº 14.133/2021;</w:t>
      </w:r>
    </w:p>
    <w:p>
      <w:pPr>
        <w:pStyle w:val="Normal"/>
        <w:jc w:val="both"/>
        <w:rPr>
          <w:rFonts w:ascii="Times New Roman" w:hAnsi="Times New Roman"/>
        </w:rPr>
      </w:pPr>
      <w:r>
        <w:rPr>
          <w:rFonts w:ascii="Times New Roman" w:hAnsi="Times New Roman"/>
        </w:rPr>
        <w:t>8.2.3.3. As empresas criadas no exercício financeiro da licitação deverão atender a todas as exigências da habilitação e poderão substituir os demonstrativos contábeis pelo balanço de abertura nos termos do art. 65 da Lei nº 14.133/2021.</w:t>
      </w:r>
    </w:p>
    <w:p>
      <w:pPr>
        <w:pStyle w:val="Normal"/>
        <w:jc w:val="both"/>
        <w:rPr>
          <w:rFonts w:ascii="Times New Roman" w:hAnsi="Times New Roman"/>
        </w:rPr>
      </w:pPr>
      <w:r>
        <w:rPr>
          <w:rFonts w:ascii="Times New Roman" w:hAnsi="Times New Roman"/>
        </w:rPr>
        <w:t>8.2.3.4. O balanço patrimonial, demonstração de resultado de exercício e demais demonstrações contábeis limitar-se-ão ao último exercício no caso de a pessoa jurídica ter sido constituída há menos de 2 (dois) anos nos termos do § 6º do art. 69 da Lei nº 14.133/2021.</w:t>
      </w:r>
    </w:p>
    <w:p>
      <w:pPr>
        <w:pStyle w:val="Normal"/>
        <w:jc w:val="both"/>
        <w:rPr>
          <w:rFonts w:ascii="Times New Roman" w:hAnsi="Times New Roman"/>
        </w:rPr>
      </w:pPr>
      <w:r>
        <w:rPr>
          <w:rFonts w:ascii="Times New Roman" w:hAnsi="Times New Roman"/>
        </w:rPr>
        <w:t>8.2.3.5. O atendimento dos índices econômicos previstos neste item deverá ser atestado mediante declaração assinada por profissional habilitado da área contábil, apresentada pelo fornecedor.</w:t>
      </w:r>
    </w:p>
    <w:p>
      <w:pPr>
        <w:pStyle w:val="Normal"/>
        <w:jc w:val="both"/>
        <w:rPr>
          <w:b/>
          <w:b/>
          <w:bCs/>
        </w:rPr>
      </w:pPr>
      <w:r>
        <w:rPr>
          <w:rFonts w:ascii="Times New Roman" w:hAnsi="Times New Roman"/>
          <w:b/>
          <w:bCs/>
        </w:rPr>
        <w:t>8.2.4. Qualificação Técnica</w:t>
      </w:r>
    </w:p>
    <w:p>
      <w:pPr>
        <w:pStyle w:val="Normal"/>
        <w:jc w:val="both"/>
        <w:rPr>
          <w:rFonts w:ascii="Times New Roman" w:hAnsi="Times New Roman"/>
        </w:rPr>
      </w:pPr>
      <w:r>
        <w:rPr>
          <w:rFonts w:ascii="Times New Roman" w:hAnsi="Times New Roman"/>
        </w:rPr>
        <w:t>8.2.4.1. Comprovação de aptidão para o desempenho de atividade pertinente e compatível em características com o objeto da licitação, mediante apresentação de atestado(s) fornecido(s) por pessoa(s) jurídica(s) de direito público ou privado.</w:t>
      </w:r>
    </w:p>
    <w:p>
      <w:pPr>
        <w:pStyle w:val="Normal"/>
        <w:tabs>
          <w:tab w:val="clear" w:pos="720"/>
          <w:tab w:val="left" w:pos="0" w:leader="none"/>
        </w:tabs>
        <w:snapToGrid w:val="false"/>
        <w:spacing w:before="57" w:after="57"/>
        <w:jc w:val="both"/>
        <w:rPr/>
      </w:pPr>
      <w:r>
        <w:rPr>
          <w:rFonts w:ascii="Times New Roman" w:hAnsi="Times New Roman"/>
        </w:rPr>
        <w:t>8.2.4.2. Apresentar Alvará, licença ou registro de funcionamento emitido pela Vigilância Sanitária da sede do licitante, Estadual ou Municipal, constatando a atividade específica</w:t>
      </w:r>
      <w:r>
        <w:rPr>
          <w:rFonts w:eastAsia="Lucida Sans Unicode" w:ascii="Times New Roman" w:hAnsi="Times New Roman"/>
          <w:color w:val="C9211E"/>
          <w:shd w:fill="FFFFFF" w:val="clear"/>
        </w:rPr>
        <w:t>.</w:t>
      </w:r>
    </w:p>
    <w:p>
      <w:pPr>
        <w:pStyle w:val="Normal"/>
        <w:jc w:val="both"/>
        <w:rPr>
          <w:rFonts w:ascii="Times New Roman" w:hAnsi="Times New Roman"/>
          <w:b/>
          <w:b/>
        </w:rPr>
      </w:pPr>
      <w:r>
        <w:rPr>
          <w:rFonts w:ascii="Times New Roman" w:hAnsi="Times New Roman"/>
          <w:b/>
        </w:rPr>
        <w:t>9. ESTIMATIVAS DO VALOR DA CONTRATAÇÃO</w:t>
      </w:r>
    </w:p>
    <w:p>
      <w:pPr>
        <w:pStyle w:val="Normal"/>
        <w:jc w:val="both"/>
        <w:rPr>
          <w:rFonts w:ascii="Times New Roman" w:hAnsi="Times New Roman"/>
        </w:rPr>
      </w:pPr>
      <w:r>
        <w:rPr>
          <w:rFonts w:ascii="Times New Roman" w:hAnsi="Times New Roman"/>
        </w:rPr>
        <w:t>9.1. O custo estimado da contratação possui caráter sigiloso e será tornado público apenas e imediatamente após o julgamento das propostas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b/>
        </w:rPr>
      </w:pPr>
      <w:r>
        <w:rPr>
          <w:rFonts w:ascii="Times New Roman" w:hAnsi="Times New Roman"/>
          <w:b/>
        </w:rPr>
        <w:t>10. ADEQUAÇÃO ORÇAMENTÁRIA</w:t>
      </w:r>
    </w:p>
    <w:p>
      <w:pPr>
        <w:pStyle w:val="Normal"/>
        <w:jc w:val="both"/>
        <w:rPr>
          <w:rFonts w:ascii="Times New Roman" w:hAnsi="Times New Roman"/>
        </w:rPr>
      </w:pPr>
      <w:r>
        <w:rPr>
          <w:rFonts w:ascii="Times New Roman" w:hAnsi="Times New Roman"/>
        </w:rPr>
        <w:t>10.1. As despesas decorrentes da presente contratação correrão a conta de recursos específicos consignados no Orçamento Geral do Estado.</w:t>
      </w:r>
    </w:p>
    <w:p>
      <w:pPr>
        <w:pStyle w:val="Normal"/>
        <w:jc w:val="both"/>
        <w:rPr>
          <w:rFonts w:ascii="Times New Roman" w:hAnsi="Times New Roman"/>
        </w:rPr>
      </w:pPr>
      <w:r>
        <w:rPr>
          <w:rFonts w:ascii="Times New Roman" w:hAnsi="Times New Roman"/>
        </w:rPr>
        <w:t>10.2. A contratação será atendida pela seguinte dotação:</w:t>
      </w:r>
    </w:p>
    <w:p>
      <w:pPr>
        <w:pStyle w:val="Normal"/>
        <w:jc w:val="both"/>
        <w:rPr>
          <w:rFonts w:ascii="Times New Roman" w:hAnsi="Times New Roman"/>
        </w:rPr>
      </w:pPr>
      <w:r>
        <w:rPr>
          <w:rFonts w:ascii="Times New Roman" w:hAnsi="Times New Roman"/>
        </w:rPr>
        <w:t>10.2.1.Gestão/Unidade: 30100003</w:t>
      </w:r>
    </w:p>
    <w:p>
      <w:pPr>
        <w:pStyle w:val="Normal"/>
        <w:jc w:val="both"/>
        <w:rPr>
          <w:rFonts w:ascii="Times New Roman" w:hAnsi="Times New Roman"/>
        </w:rPr>
      </w:pPr>
      <w:r>
        <w:rPr>
          <w:rFonts w:ascii="Times New Roman" w:hAnsi="Times New Roman"/>
        </w:rPr>
        <w:t>10.2.2. Fonte de Recursos: 500</w:t>
      </w:r>
    </w:p>
    <w:p>
      <w:pPr>
        <w:pStyle w:val="Normal"/>
        <w:jc w:val="both"/>
        <w:rPr>
          <w:rFonts w:ascii="Times New Roman" w:hAnsi="Times New Roman"/>
        </w:rPr>
      </w:pPr>
      <w:r>
        <w:rPr>
          <w:rFonts w:ascii="Times New Roman" w:hAnsi="Times New Roman"/>
        </w:rPr>
        <w:t>10.2.3. Programa de Trabalho: 211</w:t>
      </w:r>
    </w:p>
    <w:p>
      <w:pPr>
        <w:pStyle w:val="Normal"/>
        <w:jc w:val="both"/>
        <w:rPr>
          <w:rFonts w:ascii="Times New Roman" w:hAnsi="Times New Roman"/>
        </w:rPr>
      </w:pPr>
      <w:r>
        <w:rPr>
          <w:rFonts w:ascii="Times New Roman" w:hAnsi="Times New Roman"/>
        </w:rPr>
        <w:t>10.2.4. Elemento de Despesa: 30</w:t>
      </w:r>
    </w:p>
    <w:p>
      <w:pPr>
        <w:pStyle w:val="Normal"/>
        <w:jc w:val="both"/>
        <w:rPr>
          <w:rFonts w:ascii="Times New Roman" w:hAnsi="Times New Roman"/>
        </w:rPr>
      </w:pPr>
      <w:r>
        <w:rPr>
          <w:rFonts w:ascii="Times New Roman" w:hAnsi="Times New Roman"/>
        </w:rPr>
        <w:t>10.3. A dotação relativa aos exercícios financeiros subsequentes será indicada após aprovação da Lei Orçamentária respectiva e liberação dos créditos correspondentes, mediante apostilamento.</w:t>
      </w:r>
    </w:p>
    <w:p>
      <w:pPr>
        <w:pStyle w:val="Normal"/>
        <w:jc w:val="both"/>
        <w:rPr>
          <w:rFonts w:ascii="Times New Roman" w:hAnsi="Times New Roman"/>
          <w:b/>
          <w:b/>
        </w:rPr>
      </w:pPr>
      <w:r>
        <w:rPr>
          <w:rFonts w:ascii="Times New Roman" w:hAnsi="Times New Roman"/>
          <w:b/>
        </w:rPr>
        <w:t xml:space="preserve">11. OBRIGAÇÕES DO CONTRATANTE </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11.1. São obrigações do CONTRATANTE:</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11.1.1. Exigir o cumprimento de todas as obrigações assumidas pelo CONTRATADO, de acordo com o contrato e seus anexos;</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11.1.2. Receber o objeto no prazo e condições estabelecidas neste Termo de Referência;</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11.1.3. Notificar o CONTRATADO, por escrito, sobre vícios, defeitos ou incorreções verificadas no objeto contratado, para que seja por ele substituído, reparado ou corrigido, no total ou em parte, às suas expensas;</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11.1.4. Acompanhar e fiscalizar a execução do contrato e o cumprimento das obrigações pelo CONTRATADO;</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 xml:space="preserve">11.1.5. Comunicar o CONTRATADO para emissão de nota fiscal relativa à parcela incontroversa da execução do objeto, para efeito de liquidação e pagamento, quando houver controvérsia sobre a execução do objeto, quanto à dimensão, qualidade e quantidade, conforme o </w:t>
      </w:r>
      <w:r>
        <w:fldChar w:fldCharType="begin"/>
      </w:r>
      <w:r>
        <w:rPr>
          <w:rFonts w:ascii="Times New Roman" w:hAnsi="Times New Roman"/>
        </w:rPr>
        <w:instrText xml:space="preserve"> HYPERLINK "http://www.planalto.gov.br/ccivil_03/_ato2019-2022/2021/lei/L14133.htm" \l "art143"</w:instrText>
      </w:r>
      <w:r>
        <w:rPr>
          <w:rFonts w:ascii="Times New Roman" w:hAnsi="Times New Roman"/>
        </w:rPr>
        <w:fldChar w:fldCharType="separate"/>
      </w:r>
      <w:r>
        <w:rPr>
          <w:rFonts w:ascii="Times New Roman" w:hAnsi="Times New Roman"/>
        </w:rPr>
        <w:t>art. 143 da Lei nº 14.133/2021</w:t>
      </w:r>
      <w:r>
        <w:rPr>
          <w:rFonts w:ascii="Times New Roman" w:hAnsi="Times New Roman"/>
        </w:rPr>
        <w:fldChar w:fldCharType="end"/>
      </w:r>
      <w:r>
        <w:rPr>
          <w:rFonts w:ascii="Times New Roman" w:hAnsi="Times New Roman"/>
        </w:rPr>
        <w:t>;</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11.1.6. Efetuar o pagamento ao CONTRATADO do valor correspondente a execução do objeto, no prazo, forma e condições estabelecidos no presente contrato;</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11.1.7. Aplicar as sanções previstas na lei e no contrato, quando do descumprimento de obrigações pelo CONTRATADO;</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11.1.8. Emitir explicitamente decisão sobre todas as solicitações e reclamações relacionadas à execução do contrato, ressalvados os requerimentos manifestamente impertinentes, meramente protelatórios ou de nenhum interesse para a boa execução do ajuste.</w:t>
      </w:r>
    </w:p>
    <w:p>
      <w:pPr>
        <w:pStyle w:val="Normal"/>
        <w:tabs>
          <w:tab w:val="clear" w:pos="720"/>
          <w:tab w:val="left" w:pos="-2184" w:leader="none"/>
          <w:tab w:val="left" w:pos="1077" w:leader="none"/>
        </w:tabs>
        <w:jc w:val="both"/>
        <w:rPr>
          <w:rFonts w:ascii="Times New Roman" w:hAnsi="Times New Roman"/>
        </w:rPr>
      </w:pPr>
      <w:r>
        <w:rPr>
          <w:rFonts w:ascii="Times New Roman" w:hAnsi="Times New Roman"/>
        </w:rPr>
        <w:t>11.1.8.1. A Administração terá o prazo de 30 (trinta) dias, a contar da data do protocolo do requerimento para decidir, admitida a prorrogação motivada, por igual período.</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11.1.9. Responder eventuais pedidos de reestabelecimento do equilíbrio econômico-financeiro feitos pelo CONTRATADO no prazo máximo de 30 (trinta) dias.</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11.2.  Não responder por quaisquer compromissos assumidos pelo CONTRATADO com terceiros, ainda que vinculados à execução do contrato, bem como por qualquer dano causado a terceiros em decorrência de ato do CONTRATADO, de seus empregados, prepostos ou subordinados.</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r>
    </w:p>
    <w:p>
      <w:pPr>
        <w:pStyle w:val="Corpodotexto"/>
        <w:tabs>
          <w:tab w:val="clear" w:pos="720"/>
          <w:tab w:val="left" w:pos="-2184" w:leader="none"/>
          <w:tab w:val="left" w:pos="1077" w:leader="none"/>
        </w:tabs>
        <w:spacing w:lineRule="auto" w:line="240" w:before="0" w:after="0"/>
        <w:jc w:val="both"/>
        <w:rPr>
          <w:rFonts w:ascii="Times New Roman" w:hAnsi="Times New Roman"/>
          <w:b/>
          <w:b/>
        </w:rPr>
      </w:pPr>
      <w:r>
        <w:rPr>
          <w:rFonts w:ascii="Times New Roman" w:hAnsi="Times New Roman"/>
          <w:b/>
        </w:rPr>
        <w:t xml:space="preserve">12. OBRIGAÇÕES DO CONTRATADO </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 O CONTRATADO deve cumprir todas as obrigações constantes no contrato e em seus anexos, assumindo como exclusivamente seus os riscos e as despesas decorrentes da boa e perfeita execução do objeto, observando, ainda, as obrigações a seguir dispostas:</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12.1.1. Entregar o objeto acompanhado do manual do usuário, com uma versão em português, e da relação da rede de assistência técnica autorizada;</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12.1.2. Responsabilizar-se pelos vícios e danos decorrentes do objeto, de acordo com o Código de Defesa do Consumidor;</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12.1.3. Comunicar ao CONTRATANTE, no prazo máximo de 24 (vinte e quatro) horas que antecede a data da entrega, os motivos que impossibilitem o cumprimento do prazo previsto, com a devida comprovação;</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12.1.4. Atender às determinações regulares emitidas pelo fiscal ou gestor do contrato ou autoridade superior e prestar todo esclarecimento ou informação por eles solicitados;</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12.1.5.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12.1.7. Quando não for possível a verificação da regularidade no Sistema de Cadastramento Unificado de Fornecedores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12.1.9. Comunicar ao fiscal do contrato, no prazo de 24 (vinte e quatro) horas, qualquer ocorrência anormal ou acidente que se verifique no local da execução dos serviços.</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12.1.10. Paralisar, por determinação do CONTRATANTE, qualquer atividade que não esteja sendo executada de acordo com a boa técnica ou que ponha em risco a segurança de pessoas ou bens de terceiros.</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12.1.11. Manter durante toda a vigência do contrato, em compatibilidade com as obrigações assumidas, todas as condições exigidas para habilitação na licitação.</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12.1.12. Cumprir, durante todo o período de execução do contrato e desde que regulamentado, a reserva de cargos prevista em lei para pessoa com deficiência, para reabilitado da Previdência Social ou para aprendiz, bem como as reservas de cargos previstas em legislação específicas.</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12.1.13. Comprovar as reservas de cargos e vagas a que se referem o item acima, no prazo fixado pelo fiscal do contrato, com a indicação dos empregados que preencheram as referidas vagas conforme disposto no art. 116, parágrafo único da Lei nº 14.133/2021.</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12.1.14. Guardar sigilo sobre todas as informações obtidas em decorrência do cumprimento do contrato.</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14.133/2021</w:t>
      </w:r>
      <w:r>
        <w:fldChar w:fldCharType="begin"/>
      </w:r>
      <w:r>
        <w:rPr>
          <w:rFonts w:ascii="Times New Roman" w:hAnsi="Times New Roman"/>
        </w:rPr>
        <w:instrText xml:space="preserve"> HYPERLINK "http://www.planalto.gov.br/ccivil_03/_ato2019-2022/2021/lei/L14133.htm" \l "art124"</w:instrText>
      </w:r>
      <w:r>
        <w:rPr>
          <w:rFonts w:ascii="Times New Roman" w:hAnsi="Times New Roman"/>
        </w:rPr>
        <w:fldChar w:fldCharType="separate"/>
      </w:r>
      <w:r>
        <w:rPr>
          <w:rFonts w:ascii="Times New Roman" w:hAnsi="Times New Roman"/>
        </w:rPr>
        <w:t>.</w:t>
      </w:r>
      <w:r>
        <w:rPr>
          <w:rFonts w:ascii="Times New Roman" w:hAnsi="Times New Roman"/>
        </w:rPr>
        <w:fldChar w:fldCharType="end"/>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12.1.16. Alocar os empregados necessários, com habilitação e conhecimento adequados, ao perfeito cumprimento das cláusulas do contrato, fornecendo os materiais, equipamentos, ferramentas e utensílios demandados, cuja quantidade, qualidade e tecnologia deverão atender às recomendações de boa técnica e a legislação de regência.</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12.1.17. Submeter previamente, por escrito, ao CONTRATANTE, para análise e aprovação, quaisquer mudanças nos métodos executivos que fujam às especificações do memorial descritivo ou instrumento congênere.</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12.1.18. 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12.1.19. Não permitir a utilização de qualquer trabalho do menor de dezesseis anos, exceto na condição de aprendiz para os maiores de quatorze anos, nem permitir a utilização do trabalho do menor de dezoito anos em trabalho noturno, perigoso ou insalubre.</w:t>
      </w:r>
    </w:p>
    <w:p>
      <w:pPr>
        <w:pStyle w:val="Corpodotexto"/>
        <w:tabs>
          <w:tab w:val="clear" w:pos="720"/>
          <w:tab w:val="left" w:pos="-2184" w:leader="none"/>
          <w:tab w:val="left" w:pos="1077" w:leader="none"/>
        </w:tabs>
        <w:spacing w:lineRule="auto" w:line="240" w:before="0" w:after="0"/>
        <w:jc w:val="both"/>
        <w:rPr>
          <w:rFonts w:ascii="Times New Roman" w:hAnsi="Times New Roman"/>
        </w:rPr>
      </w:pPr>
      <w:r>
        <w:rPr>
          <w:rFonts w:ascii="Times New Roman" w:hAnsi="Times New Roman"/>
        </w:rPr>
        <w:t>12.1.20. Promover a guarda, manutenção e vigilância de materiais, ferramentas, e tudo o que for necessário à execução do objeto, durante a vigência do contrato.</w:t>
      </w:r>
    </w:p>
    <w:p>
      <w:pPr>
        <w:pStyle w:val="Corpodotexto"/>
        <w:tabs>
          <w:tab w:val="clear" w:pos="720"/>
          <w:tab w:val="left" w:pos="-2184" w:leader="none"/>
          <w:tab w:val="left" w:pos="1077" w:leader="none"/>
        </w:tabs>
        <w:spacing w:lineRule="auto" w:line="240" w:before="57" w:after="57"/>
        <w:jc w:val="both"/>
        <w:rPr>
          <w:rFonts w:ascii="Times New Roman" w:hAnsi="Times New Roman"/>
        </w:rPr>
      </w:pPr>
      <w:r>
        <w:rPr>
          <w:rFonts w:ascii="Times New Roman" w:hAnsi="Times New Roman"/>
        </w:rPr>
      </w:r>
    </w:p>
    <w:p>
      <w:pPr>
        <w:pStyle w:val="Textbody"/>
        <w:spacing w:before="113" w:after="113"/>
        <w:jc w:val="both"/>
        <w:rPr>
          <w:rFonts w:ascii="Times New Roman" w:hAnsi="Times New Roman" w:eastAsia="Arial" w:cs="Times New Roman"/>
          <w:color w:val="000000"/>
          <w:sz w:val="22"/>
          <w:szCs w:val="22"/>
          <w:lang w:val="pt-PT"/>
        </w:rPr>
      </w:pPr>
      <w:r>
        <w:rPr>
          <w:rFonts w:eastAsia="Arial" w:cs="Times New Roman" w:ascii="Times New Roman" w:hAnsi="Times New Roman"/>
          <w:color w:val="000000"/>
          <w:sz w:val="22"/>
          <w:szCs w:val="22"/>
          <w:lang w:val="pt-PT"/>
        </w:rPr>
        <w:t>Fortaleza - CE,            de                     de  2023.</w:t>
      </w:r>
    </w:p>
    <w:p>
      <w:pPr>
        <w:pStyle w:val="Textbody"/>
        <w:spacing w:before="113" w:after="113"/>
        <w:jc w:val="both"/>
        <w:rPr>
          <w:rFonts w:ascii="Times New Roman" w:hAnsi="Times New Roman" w:eastAsia="Arial" w:cs="Times New Roman"/>
          <w:color w:val="000000"/>
          <w:sz w:val="22"/>
          <w:szCs w:val="22"/>
          <w:lang w:val="pt-PT"/>
        </w:rPr>
      </w:pPr>
      <w:r>
        <w:rPr>
          <w:rFonts w:eastAsia="Arial" w:cs="Times New Roman" w:ascii="Times New Roman" w:hAnsi="Times New Roman"/>
          <w:color w:val="000000"/>
          <w:sz w:val="22"/>
          <w:szCs w:val="22"/>
          <w:lang w:val="pt-PT"/>
        </w:rPr>
      </w:r>
    </w:p>
    <w:p>
      <w:pPr>
        <w:pStyle w:val="Textbody"/>
        <w:spacing w:before="113" w:after="113"/>
        <w:jc w:val="both"/>
        <w:rPr>
          <w:rFonts w:ascii="Times New Roman" w:hAnsi="Times New Roman" w:eastAsia="Arial" w:cs="Times New Roman"/>
          <w:color w:val="000000"/>
          <w:sz w:val="22"/>
          <w:szCs w:val="22"/>
          <w:lang w:val="pt-PT"/>
        </w:rPr>
      </w:pPr>
      <w:r>
        <w:rPr>
          <w:rFonts w:eastAsia="Arial" w:cs="Times New Roman" w:ascii="Times New Roman" w:hAnsi="Times New Roman"/>
          <w:color w:val="000000"/>
          <w:sz w:val="22"/>
          <w:szCs w:val="22"/>
          <w:lang w:val="pt-PT"/>
        </w:rPr>
      </w:r>
    </w:p>
    <w:p>
      <w:pPr>
        <w:pStyle w:val="Standard"/>
        <w:tabs>
          <w:tab w:val="clear" w:pos="720"/>
          <w:tab w:val="left" w:pos="4826" w:leader="none"/>
          <w:tab w:val="left" w:pos="10028" w:leader="none"/>
          <w:tab w:val="left" w:pos="10158" w:leader="none"/>
          <w:tab w:val="left" w:pos="10288" w:leader="none"/>
          <w:tab w:val="left" w:pos="10326" w:leader="none"/>
        </w:tabs>
        <w:jc w:val="center"/>
        <w:rPr>
          <w:rFonts w:ascii="Times New Roman" w:hAnsi="Times New Roman" w:eastAsia="Arial" w:cs="Times New Roman"/>
          <w:color w:val="000000"/>
          <w:sz w:val="22"/>
          <w:szCs w:val="22"/>
          <w:lang w:val="pt-PT"/>
        </w:rPr>
      </w:pPr>
      <w:r>
        <w:rPr>
          <w:rFonts w:eastAsia="Arial" w:cs="Times New Roman" w:ascii="Times New Roman" w:hAnsi="Times New Roman"/>
          <w:color w:val="000000"/>
          <w:sz w:val="22"/>
          <w:szCs w:val="22"/>
          <w:lang w:val="pt-PT"/>
        </w:rPr>
        <w:t>Beatriz Ribeiro Fernandes</w:t>
      </w:r>
    </w:p>
    <w:p>
      <w:pPr>
        <w:pStyle w:val="Standard"/>
        <w:tabs>
          <w:tab w:val="clear" w:pos="720"/>
          <w:tab w:val="left" w:pos="4826" w:leader="none"/>
          <w:tab w:val="left" w:pos="10028" w:leader="none"/>
          <w:tab w:val="left" w:pos="10158" w:leader="none"/>
          <w:tab w:val="left" w:pos="10288" w:leader="none"/>
          <w:tab w:val="left" w:pos="10326" w:leader="none"/>
        </w:tabs>
        <w:jc w:val="center"/>
        <w:rPr>
          <w:rFonts w:ascii="Times New Roman" w:hAnsi="Times New Roman" w:eastAsia="Arial" w:cs="Times New Roman"/>
          <w:color w:val="000000"/>
          <w:sz w:val="22"/>
          <w:szCs w:val="22"/>
          <w:lang w:val="pt-PT"/>
        </w:rPr>
      </w:pPr>
      <w:r>
        <w:rPr>
          <w:rFonts w:eastAsia="Arial" w:cs="Times New Roman" w:ascii="Times New Roman" w:hAnsi="Times New Roman"/>
          <w:color w:val="000000"/>
          <w:sz w:val="22"/>
          <w:szCs w:val="22"/>
          <w:lang w:val="pt-PT"/>
        </w:rPr>
        <w:t>Coordenadoria de Administração Palaciana</w:t>
      </w:r>
      <w:bookmarkStart w:id="2" w:name="_GoBack_Copia_1"/>
      <w:bookmarkEnd w:id="2"/>
    </w:p>
    <w:p>
      <w:pPr>
        <w:pStyle w:val="Standard"/>
        <w:tabs>
          <w:tab w:val="clear" w:pos="720"/>
          <w:tab w:val="left" w:pos="4826" w:leader="none"/>
          <w:tab w:val="left" w:pos="10028" w:leader="none"/>
          <w:tab w:val="left" w:pos="10158" w:leader="none"/>
          <w:tab w:val="left" w:pos="10288" w:leader="none"/>
          <w:tab w:val="left" w:pos="10326" w:leader="none"/>
        </w:tabs>
        <w:jc w:val="center"/>
        <w:rPr>
          <w:rFonts w:ascii="Arial" w:hAnsi="Arial" w:cs="Arial"/>
          <w:sz w:val="22"/>
          <w:szCs w:val="22"/>
        </w:rPr>
      </w:pPr>
      <w:r>
        <w:rPr>
          <w:rFonts w:cs="Arial" w:ascii="Arial" w:hAnsi="Arial"/>
          <w:sz w:val="22"/>
          <w:szCs w:val="22"/>
        </w:rPr>
      </w:r>
    </w:p>
    <w:p>
      <w:pPr>
        <w:pStyle w:val="Standard"/>
        <w:tabs>
          <w:tab w:val="clear" w:pos="720"/>
          <w:tab w:val="left" w:pos="4826" w:leader="none"/>
          <w:tab w:val="left" w:pos="10028" w:leader="none"/>
          <w:tab w:val="left" w:pos="10158" w:leader="none"/>
          <w:tab w:val="left" w:pos="10288" w:leader="none"/>
          <w:tab w:val="left" w:pos="10326" w:leader="none"/>
        </w:tabs>
        <w:spacing w:before="113" w:after="113"/>
        <w:rPr>
          <w:rFonts w:ascii="Times New Roman" w:hAnsi="Times New Roman" w:eastAsia="Arial" w:cs="Times New Roman"/>
          <w:color w:val="000000"/>
          <w:sz w:val="22"/>
          <w:szCs w:val="22"/>
          <w:lang w:val="pt-PT"/>
        </w:rPr>
      </w:pPr>
      <w:r>
        <w:rPr>
          <w:rFonts w:eastAsia="Arial" w:cs="Times New Roman" w:ascii="Times New Roman" w:hAnsi="Times New Roman"/>
          <w:color w:val="000000"/>
          <w:sz w:val="22"/>
          <w:szCs w:val="22"/>
          <w:lang w:val="pt-PT"/>
        </w:rPr>
        <w:t>Aprovado:</w:t>
      </w:r>
    </w:p>
    <w:p>
      <w:pPr>
        <w:sectPr>
          <w:headerReference w:type="default" r:id="rId2"/>
          <w:footerReference w:type="default" r:id="rId3"/>
          <w:type w:val="nextPage"/>
          <w:pgSz w:w="11906" w:h="16838"/>
          <w:pgMar w:left="1418" w:right="1418" w:gutter="0" w:header="17" w:top="2835" w:footer="57" w:bottom="1134"/>
          <w:pgNumType w:fmt="decimal"/>
          <w:formProt w:val="false"/>
          <w:textDirection w:val="lrTb"/>
          <w:docGrid w:type="default" w:linePitch="360" w:charSpace="0"/>
        </w:sectPr>
      </w:pPr>
    </w:p>
    <w:p>
      <w:pPr>
        <w:pStyle w:val="Standard"/>
        <w:tabs>
          <w:tab w:val="clear" w:pos="720"/>
          <w:tab w:val="left" w:pos="4826" w:leader="none"/>
          <w:tab w:val="left" w:pos="10028" w:leader="none"/>
          <w:tab w:val="left" w:pos="10158" w:leader="none"/>
          <w:tab w:val="left" w:pos="10288" w:leader="none"/>
          <w:tab w:val="left" w:pos="10326" w:leader="none"/>
        </w:tabs>
        <w:rPr>
          <w:rFonts w:ascii="Times New Roman" w:hAnsi="Times New Roman" w:eastAsia="Arial" w:cs="Times New Roman"/>
          <w:color w:val="000000"/>
          <w:sz w:val="22"/>
          <w:szCs w:val="22"/>
          <w:lang w:val="pt-PT"/>
        </w:rPr>
      </w:pPr>
      <w:r>
        <w:rPr>
          <w:rFonts w:eastAsia="Arial" w:cs="Times New Roman" w:ascii="Times New Roman" w:hAnsi="Times New Roman"/>
          <w:color w:val="000000"/>
          <w:sz w:val="22"/>
          <w:szCs w:val="22"/>
          <w:lang w:val="pt-PT"/>
        </w:rPr>
      </w:r>
    </w:p>
    <w:p>
      <w:pPr>
        <w:pStyle w:val="Standard"/>
        <w:tabs>
          <w:tab w:val="clear" w:pos="720"/>
          <w:tab w:val="left" w:pos="4826" w:leader="none"/>
          <w:tab w:val="left" w:pos="10028" w:leader="none"/>
          <w:tab w:val="left" w:pos="10158" w:leader="none"/>
          <w:tab w:val="left" w:pos="10288" w:leader="none"/>
          <w:tab w:val="left" w:pos="10326" w:leader="none"/>
        </w:tabs>
        <w:rPr>
          <w:rFonts w:ascii="Times New Roman" w:hAnsi="Times New Roman" w:eastAsia="Arial" w:cs="Times New Roman"/>
          <w:color w:val="000000"/>
          <w:sz w:val="22"/>
          <w:szCs w:val="22"/>
          <w:lang w:val="pt-PT"/>
        </w:rPr>
      </w:pPr>
      <w:r>
        <w:rPr>
          <w:rFonts w:eastAsia="Arial" w:cs="Times New Roman" w:ascii="Times New Roman" w:hAnsi="Times New Roman"/>
          <w:color w:val="000000"/>
          <w:sz w:val="22"/>
          <w:szCs w:val="22"/>
          <w:lang w:val="pt-PT"/>
        </w:rPr>
      </w:r>
    </w:p>
    <w:p>
      <w:pPr>
        <w:pStyle w:val="Standard"/>
        <w:tabs>
          <w:tab w:val="clear" w:pos="720"/>
          <w:tab w:val="left" w:pos="4826" w:leader="none"/>
          <w:tab w:val="left" w:pos="10028" w:leader="none"/>
          <w:tab w:val="left" w:pos="10158" w:leader="none"/>
          <w:tab w:val="left" w:pos="10288" w:leader="none"/>
          <w:tab w:val="left" w:pos="10326" w:leader="none"/>
        </w:tabs>
        <w:rPr>
          <w:rFonts w:ascii="Times New Roman" w:hAnsi="Times New Roman" w:eastAsia="Arial" w:cs="Times New Roman"/>
          <w:color w:val="000000"/>
          <w:sz w:val="22"/>
          <w:szCs w:val="22"/>
          <w:lang w:val="pt-PT"/>
        </w:rPr>
      </w:pPr>
      <w:r>
        <w:rPr>
          <w:rFonts w:eastAsia="Arial" w:cs="Times New Roman" w:ascii="Times New Roman" w:hAnsi="Times New Roman"/>
          <w:color w:val="000000"/>
          <w:sz w:val="22"/>
          <w:szCs w:val="22"/>
          <w:lang w:val="pt-PT"/>
        </w:rPr>
      </w:r>
    </w:p>
    <w:p>
      <w:pPr>
        <w:pStyle w:val="Standard"/>
        <w:tabs>
          <w:tab w:val="clear" w:pos="720"/>
          <w:tab w:val="left" w:pos="4826" w:leader="none"/>
          <w:tab w:val="left" w:pos="10028" w:leader="none"/>
          <w:tab w:val="left" w:pos="10158" w:leader="none"/>
          <w:tab w:val="left" w:pos="10288" w:leader="none"/>
          <w:tab w:val="left" w:pos="10326" w:leader="none"/>
        </w:tabs>
        <w:rPr>
          <w:rFonts w:ascii="Times New Roman" w:hAnsi="Times New Roman" w:eastAsia="Arial" w:cs="Times New Roman"/>
          <w:color w:val="000000"/>
          <w:sz w:val="22"/>
          <w:szCs w:val="22"/>
          <w:lang w:val="pt-PT"/>
        </w:rPr>
      </w:pPr>
      <w:r>
        <w:rPr>
          <w:rFonts w:eastAsia="Arial" w:cs="Times New Roman" w:ascii="Times New Roman" w:hAnsi="Times New Roman"/>
          <w:color w:val="000000"/>
          <w:sz w:val="22"/>
          <w:szCs w:val="22"/>
          <w:lang w:val="pt-PT"/>
        </w:rPr>
      </w:r>
    </w:p>
    <w:p>
      <w:pPr>
        <w:sectPr>
          <w:type w:val="continuous"/>
          <w:pgSz w:w="11906" w:h="16838"/>
          <w:pgMar w:left="1418" w:right="1418" w:gutter="0" w:header="17" w:top="2835" w:footer="57" w:bottom="1134"/>
          <w:cols w:num="2" w:space="720" w:equalWidth="true" w:sep="false"/>
          <w:formProt w:val="false"/>
          <w:textDirection w:val="lrTb"/>
          <w:docGrid w:type="default" w:linePitch="360" w:charSpace="0"/>
        </w:sectPr>
      </w:pPr>
    </w:p>
    <w:p>
      <w:pPr>
        <w:pStyle w:val="Standard"/>
        <w:tabs>
          <w:tab w:val="clear" w:pos="720"/>
          <w:tab w:val="left" w:pos="4826" w:leader="none"/>
          <w:tab w:val="left" w:pos="10028" w:leader="none"/>
          <w:tab w:val="left" w:pos="10158" w:leader="none"/>
          <w:tab w:val="left" w:pos="10288" w:leader="none"/>
          <w:tab w:val="left" w:pos="10326" w:leader="none"/>
        </w:tabs>
        <w:jc w:val="center"/>
        <w:rPr>
          <w:rFonts w:ascii="Times New Roman" w:hAnsi="Times New Roman" w:eastAsia="Arial" w:cs="Times New Roman"/>
          <w:color w:val="000000"/>
          <w:sz w:val="22"/>
          <w:szCs w:val="22"/>
          <w:lang w:val="pt-PT"/>
        </w:rPr>
      </w:pPr>
      <w:r>
        <w:rPr>
          <w:rFonts w:eastAsia="Arial" w:cs="Times New Roman" w:ascii="Times New Roman" w:hAnsi="Times New Roman"/>
          <w:color w:val="000000"/>
          <w:sz w:val="22"/>
          <w:szCs w:val="22"/>
          <w:lang w:val="pt-PT"/>
        </w:rPr>
        <w:t>Francisco José Moura Cavalcante</w:t>
      </w:r>
    </w:p>
    <w:p>
      <w:pPr>
        <w:pStyle w:val="Standard"/>
        <w:tabs>
          <w:tab w:val="clear" w:pos="720"/>
          <w:tab w:val="left" w:pos="4826" w:leader="none"/>
          <w:tab w:val="left" w:pos="10028" w:leader="none"/>
          <w:tab w:val="left" w:pos="10158" w:leader="none"/>
          <w:tab w:val="left" w:pos="10288" w:leader="none"/>
          <w:tab w:val="left" w:pos="10326" w:leader="none"/>
        </w:tabs>
        <w:jc w:val="center"/>
        <w:rPr>
          <w:rFonts w:ascii="Times New Roman" w:hAnsi="Times New Roman" w:eastAsia="Arial" w:cs="Times New Roman"/>
          <w:color w:val="000000"/>
          <w:sz w:val="22"/>
          <w:szCs w:val="22"/>
          <w:lang w:val="pt-PT"/>
        </w:rPr>
      </w:pPr>
      <w:r>
        <w:rPr>
          <w:rFonts w:eastAsia="Arial" w:cs="Times New Roman" w:ascii="Times New Roman" w:hAnsi="Times New Roman"/>
          <w:color w:val="000000"/>
          <w:sz w:val="22"/>
          <w:szCs w:val="22"/>
          <w:lang w:val="pt-PT"/>
        </w:rPr>
        <w:t>Ordenador de Despes</w:t>
      </w:r>
    </w:p>
    <w:p>
      <w:pPr>
        <w:sectPr>
          <w:type w:val="continuous"/>
          <w:pgSz w:w="11906" w:h="16838"/>
          <w:pgMar w:left="1418" w:right="1418" w:gutter="0" w:header="17" w:top="2835" w:footer="57" w:bottom="1134"/>
          <w:formProt w:val="false"/>
          <w:textDirection w:val="lrTb"/>
          <w:docGrid w:type="default" w:linePitch="360" w:charSpace="0"/>
        </w:sectPr>
      </w:pPr>
    </w:p>
    <w:p>
      <w:pPr>
        <w:pStyle w:val="Standard"/>
        <w:tabs>
          <w:tab w:val="clear" w:pos="720"/>
          <w:tab w:val="left" w:pos="4826" w:leader="none"/>
          <w:tab w:val="left" w:pos="10028" w:leader="none"/>
          <w:tab w:val="left" w:pos="10158" w:leader="none"/>
          <w:tab w:val="left" w:pos="10288" w:leader="none"/>
          <w:tab w:val="left" w:pos="10326" w:leader="none"/>
        </w:tabs>
        <w:rPr>
          <w:rFonts w:ascii="Times New Roman" w:hAnsi="Times New Roman" w:eastAsia="Arial" w:cs="Times New Roman"/>
          <w:color w:val="000000"/>
          <w:sz w:val="22"/>
          <w:szCs w:val="22"/>
          <w:lang w:val="pt-PT"/>
        </w:rPr>
      </w:pPr>
      <w:r>
        <w:rPr/>
      </w:r>
    </w:p>
    <w:sectPr>
      <w:type w:val="continuous"/>
      <w:pgSz w:w="11906" w:h="16838"/>
      <w:pgMar w:left="1418" w:right="1418" w:gutter="0" w:header="17" w:top="2835" w:footer="57" w:bottom="1134"/>
      <w:cols w:num="2" w:space="720"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horndale AMT">
    <w:altName w:val="Times New Roman"/>
    <w:charset w:val="00"/>
    <w:family w:val="swiss"/>
    <w:pitch w:val="variable"/>
  </w:font>
  <w:font w:name="Thorndale AMT">
    <w:altName w:val="Times New Roman"/>
    <w:charset w:val="00"/>
    <w:family w:val="roman"/>
    <w:pitch w:val="variable"/>
  </w:font>
  <w:font w:name="Segoe UI">
    <w:charset w:val="00"/>
    <w:family w:val="roman"/>
    <w:pitch w:val="variable"/>
  </w:font>
  <w:font w:name="Georgi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701" w:hanging="0"/>
      <w:rPr/>
    </w:pPr>
    <w:r>
      <w:rPr/>
      <w:drawing>
        <wp:inline distT="0" distB="0" distL="0" distR="0">
          <wp:extent cx="7829550" cy="1354455"/>
          <wp:effectExtent l="0" t="0" r="0" b="0"/>
          <wp:docPr id="2"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descr=""/>
                  <pic:cNvPicPr>
                    <a:picLocks noChangeAspect="1" noChangeArrowheads="1"/>
                  </pic:cNvPicPr>
                </pic:nvPicPr>
                <pic:blipFill>
                  <a:blip r:embed="rId1"/>
                  <a:stretch>
                    <a:fillRect/>
                  </a:stretch>
                </pic:blipFill>
                <pic:spPr bwMode="auto">
                  <a:xfrm>
                    <a:off x="0" y="0"/>
                    <a:ext cx="7829550" cy="135445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1701" w:hanging="0"/>
      <w:jc w:val="center"/>
      <w:rPr/>
    </w:pPr>
    <w:r>
      <w:rPr/>
      <w:drawing>
        <wp:anchor behindDoc="0" distT="0" distB="0" distL="114300" distR="114300" simplePos="0" locked="0" layoutInCell="0" allowOverlap="1" relativeHeight="51">
          <wp:simplePos x="0" y="0"/>
          <wp:positionH relativeFrom="margin">
            <wp:align>center</wp:align>
          </wp:positionH>
          <wp:positionV relativeFrom="paragraph">
            <wp:posOffset>290830</wp:posOffset>
          </wp:positionV>
          <wp:extent cx="1756410" cy="1407160"/>
          <wp:effectExtent l="0" t="0" r="0" b="0"/>
          <wp:wrapTight wrapText="bothSides">
            <wp:wrapPolygon edited="0">
              <wp:start x="8895" y="2625"/>
              <wp:lineTo x="7959" y="5546"/>
              <wp:lineTo x="7959" y="7888"/>
              <wp:lineTo x="3039" y="13444"/>
              <wp:lineTo x="2805" y="17534"/>
              <wp:lineTo x="7959" y="19287"/>
              <wp:lineTo x="8426" y="19867"/>
              <wp:lineTo x="13350" y="19867"/>
              <wp:lineTo x="13818" y="19287"/>
              <wp:lineTo x="18742" y="17534"/>
              <wp:lineTo x="18974" y="17242"/>
              <wp:lineTo x="18038" y="14024"/>
              <wp:lineTo x="18038" y="12270"/>
              <wp:lineTo x="17100" y="10805"/>
              <wp:lineTo x="14054" y="7888"/>
              <wp:lineTo x="13582" y="5839"/>
              <wp:lineTo x="12646" y="2625"/>
              <wp:lineTo x="8895" y="2625"/>
            </wp:wrapPolygon>
          </wp:wrapTight>
          <wp:docPr id="1"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
                  <pic:cNvPicPr>
                    <a:picLocks noChangeAspect="1" noChangeArrowheads="1"/>
                  </pic:cNvPicPr>
                </pic:nvPicPr>
                <pic:blipFill>
                  <a:blip r:embed="rId1"/>
                  <a:srcRect l="36689" t="15512" r="36942" b="6621"/>
                  <a:stretch>
                    <a:fillRect/>
                  </a:stretch>
                </pic:blipFill>
                <pic:spPr bwMode="auto">
                  <a:xfrm>
                    <a:off x="0" y="0"/>
                    <a:ext cx="1756410" cy="1407160"/>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Times New Roman"/>
      <w:color w:val="auto"/>
      <w:kern w:val="0"/>
      <w:sz w:val="24"/>
      <w:szCs w:val="24"/>
      <w:lang w:eastAsia="en-US" w:val="pt-BR" w:bidi="ar-SA"/>
    </w:rPr>
  </w:style>
  <w:style w:type="paragraph" w:styleId="Ttulo1">
    <w:name w:val="Heading 1"/>
    <w:basedOn w:val="Normal"/>
    <w:next w:val="Normal"/>
    <w:link w:val="Ttulo1Char"/>
    <w:qFormat/>
    <w:rsid w:val="003e29e3"/>
    <w:pPr>
      <w:keepNext w:val="true"/>
      <w:keepLines/>
      <w:spacing w:before="480" w:after="120"/>
      <w:outlineLvl w:val="0"/>
    </w:pPr>
    <w:rPr>
      <w:rFonts w:cs="Calibri"/>
      <w:b/>
      <w:sz w:val="48"/>
      <w:szCs w:val="48"/>
    </w:rPr>
  </w:style>
  <w:style w:type="paragraph" w:styleId="Ttulo2">
    <w:name w:val="Heading 2"/>
    <w:basedOn w:val="Ttulododocumento"/>
    <w:link w:val="Ttulo2Char"/>
    <w:qFormat/>
    <w:rsid w:val="005a27f4"/>
    <w:pPr>
      <w:jc w:val="center"/>
      <w:textAlignment w:val="baseline"/>
      <w:outlineLvl w:val="1"/>
    </w:pPr>
    <w:rPr>
      <w:rFonts w:ascii="Thorndale AMT" w:hAnsi="Thorndale AMT" w:cs="Mangal"/>
      <w:b/>
      <w:bCs/>
      <w:kern w:val="2"/>
      <w:sz w:val="36"/>
      <w:szCs w:val="36"/>
      <w:lang w:eastAsia="zh-CN" w:bidi="hi-IN"/>
    </w:rPr>
  </w:style>
  <w:style w:type="paragraph" w:styleId="Ttulo3">
    <w:name w:val="Heading 3"/>
    <w:basedOn w:val="Normal"/>
    <w:next w:val="Normal"/>
    <w:link w:val="Ttulo3Char"/>
    <w:qFormat/>
    <w:rsid w:val="003e29e3"/>
    <w:pPr>
      <w:keepNext w:val="true"/>
      <w:keepLines/>
      <w:spacing w:before="280" w:after="80"/>
      <w:outlineLvl w:val="2"/>
    </w:pPr>
    <w:rPr>
      <w:rFonts w:cs="Calibri"/>
      <w:b/>
      <w:sz w:val="28"/>
      <w:szCs w:val="28"/>
    </w:rPr>
  </w:style>
  <w:style w:type="paragraph" w:styleId="Ttulo4">
    <w:name w:val="Heading 4"/>
    <w:basedOn w:val="Normal"/>
    <w:next w:val="Normal"/>
    <w:link w:val="Ttulo4Char"/>
    <w:qFormat/>
    <w:rsid w:val="003e29e3"/>
    <w:pPr>
      <w:keepNext w:val="true"/>
      <w:keepLines/>
      <w:spacing w:before="240" w:after="40"/>
      <w:outlineLvl w:val="3"/>
    </w:pPr>
    <w:rPr>
      <w:rFonts w:cs="Calibri"/>
      <w:b/>
    </w:rPr>
  </w:style>
  <w:style w:type="paragraph" w:styleId="Ttulo5">
    <w:name w:val="Heading 5"/>
    <w:basedOn w:val="Normal"/>
    <w:next w:val="Normal"/>
    <w:link w:val="Ttulo5Char"/>
    <w:qFormat/>
    <w:rsid w:val="003e29e3"/>
    <w:pPr>
      <w:keepNext w:val="true"/>
      <w:keepLines/>
      <w:spacing w:before="220" w:after="40"/>
      <w:outlineLvl w:val="4"/>
    </w:pPr>
    <w:rPr>
      <w:rFonts w:cs="Calibri"/>
      <w:b/>
      <w:sz w:val="22"/>
      <w:szCs w:val="22"/>
    </w:rPr>
  </w:style>
  <w:style w:type="paragraph" w:styleId="Ttulo6">
    <w:name w:val="Heading 6"/>
    <w:basedOn w:val="Normal"/>
    <w:next w:val="Normal"/>
    <w:link w:val="Ttulo6Char"/>
    <w:qFormat/>
    <w:rsid w:val="003e29e3"/>
    <w:pPr>
      <w:keepNext w:val="true"/>
      <w:keepLines/>
      <w:spacing w:before="200" w:after="40"/>
      <w:outlineLvl w:val="5"/>
    </w:pPr>
    <w:rPr>
      <w:rFonts w:cs="Calibri"/>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5b0156"/>
    <w:rPr/>
  </w:style>
  <w:style w:type="character" w:styleId="RodapChar" w:customStyle="1">
    <w:name w:val="Rodapé Char"/>
    <w:basedOn w:val="DefaultParagraphFont"/>
    <w:uiPriority w:val="99"/>
    <w:qFormat/>
    <w:rsid w:val="005b0156"/>
    <w:rPr/>
  </w:style>
  <w:style w:type="character" w:styleId="Fontepargpadro5" w:customStyle="1">
    <w:name w:val="Fonte parág. padrão5"/>
    <w:qFormat/>
    <w:rPr/>
  </w:style>
  <w:style w:type="character" w:styleId="Ttulo2Char" w:customStyle="1">
    <w:name w:val="Título 2 Char"/>
    <w:basedOn w:val="DefaultParagraphFont"/>
    <w:qFormat/>
    <w:rsid w:val="005a27f4"/>
    <w:rPr>
      <w:rFonts w:ascii="Thorndale AMT" w:hAnsi="Thorndale AMT" w:eastAsia="Microsoft YaHei" w:cs="Mangal"/>
      <w:b/>
      <w:bCs/>
      <w:kern w:val="2"/>
      <w:sz w:val="36"/>
      <w:szCs w:val="36"/>
      <w:lang w:eastAsia="zh-CN" w:bidi="hi-IN"/>
    </w:rPr>
  </w:style>
  <w:style w:type="character" w:styleId="Annotationreference">
    <w:name w:val="annotation reference"/>
    <w:basedOn w:val="DefaultParagraphFont"/>
    <w:uiPriority w:val="99"/>
    <w:semiHidden/>
    <w:unhideWhenUsed/>
    <w:qFormat/>
    <w:rsid w:val="005c054a"/>
    <w:rPr>
      <w:sz w:val="16"/>
      <w:szCs w:val="16"/>
    </w:rPr>
  </w:style>
  <w:style w:type="character" w:styleId="TextodebaloChar" w:customStyle="1">
    <w:name w:val="Texto de balão Char"/>
    <w:basedOn w:val="DefaultParagraphFont"/>
    <w:link w:val="BalloonText"/>
    <w:uiPriority w:val="99"/>
    <w:semiHidden/>
    <w:qFormat/>
    <w:rsid w:val="005c054a"/>
    <w:rPr>
      <w:rFonts w:ascii="Segoe UI" w:hAnsi="Segoe UI" w:cs="Segoe UI"/>
      <w:sz w:val="18"/>
      <w:szCs w:val="18"/>
      <w:lang w:eastAsia="en-US"/>
    </w:rPr>
  </w:style>
  <w:style w:type="character" w:styleId="LinkdaInternet">
    <w:name w:val="Hyperlink"/>
    <w:basedOn w:val="DefaultParagraphFont"/>
    <w:uiPriority w:val="99"/>
    <w:unhideWhenUsed/>
    <w:rsid w:val="008a0dd2"/>
    <w:rPr>
      <w:color w:val="0563C1" w:themeColor="hyperlink"/>
      <w:u w:val="single"/>
    </w:rPr>
  </w:style>
  <w:style w:type="character" w:styleId="Linkdainternetvisitado">
    <w:name w:val="FollowedHyperlink"/>
    <w:basedOn w:val="DefaultParagraphFont"/>
    <w:uiPriority w:val="99"/>
    <w:semiHidden/>
    <w:unhideWhenUsed/>
    <w:qFormat/>
    <w:rsid w:val="00666512"/>
    <w:rPr>
      <w:color w:val="954F72"/>
      <w:u w:val="single"/>
    </w:rPr>
  </w:style>
  <w:style w:type="character" w:styleId="Ttulo1Char" w:customStyle="1">
    <w:name w:val="Título 1 Char"/>
    <w:basedOn w:val="DefaultParagraphFont"/>
    <w:qFormat/>
    <w:rsid w:val="003e29e3"/>
    <w:rPr>
      <w:rFonts w:cs="Calibri"/>
      <w:b/>
      <w:sz w:val="48"/>
      <w:szCs w:val="48"/>
      <w:lang w:eastAsia="en-US"/>
    </w:rPr>
  </w:style>
  <w:style w:type="character" w:styleId="Ttulo3Char" w:customStyle="1">
    <w:name w:val="Título 3 Char"/>
    <w:basedOn w:val="DefaultParagraphFont"/>
    <w:qFormat/>
    <w:rsid w:val="003e29e3"/>
    <w:rPr>
      <w:rFonts w:cs="Calibri"/>
      <w:b/>
      <w:sz w:val="28"/>
      <w:szCs w:val="28"/>
      <w:lang w:eastAsia="en-US"/>
    </w:rPr>
  </w:style>
  <w:style w:type="character" w:styleId="Ttulo4Char" w:customStyle="1">
    <w:name w:val="Título 4 Char"/>
    <w:basedOn w:val="DefaultParagraphFont"/>
    <w:qFormat/>
    <w:rsid w:val="003e29e3"/>
    <w:rPr>
      <w:rFonts w:cs="Calibri"/>
      <w:b/>
      <w:sz w:val="24"/>
      <w:szCs w:val="24"/>
      <w:lang w:eastAsia="en-US"/>
    </w:rPr>
  </w:style>
  <w:style w:type="character" w:styleId="Ttulo5Char" w:customStyle="1">
    <w:name w:val="Título 5 Char"/>
    <w:basedOn w:val="DefaultParagraphFont"/>
    <w:qFormat/>
    <w:rsid w:val="003e29e3"/>
    <w:rPr>
      <w:rFonts w:cs="Calibri"/>
      <w:b/>
      <w:sz w:val="22"/>
      <w:szCs w:val="22"/>
      <w:lang w:eastAsia="en-US"/>
    </w:rPr>
  </w:style>
  <w:style w:type="character" w:styleId="Ttulo6Char" w:customStyle="1">
    <w:name w:val="Título 6 Char"/>
    <w:basedOn w:val="DefaultParagraphFont"/>
    <w:qFormat/>
    <w:rsid w:val="003e29e3"/>
    <w:rPr>
      <w:rFonts w:cs="Calibri"/>
      <w:b/>
      <w:lang w:eastAsia="en-US"/>
    </w:rPr>
  </w:style>
  <w:style w:type="character" w:styleId="SubttuloChar" w:customStyle="1">
    <w:name w:val="Subtítulo Char"/>
    <w:basedOn w:val="DefaultParagraphFont"/>
    <w:qFormat/>
    <w:rsid w:val="003e29e3"/>
    <w:rPr>
      <w:rFonts w:ascii="Georgia" w:hAnsi="Georgia" w:eastAsia="Georgia" w:cs="Georgia"/>
      <w:i/>
      <w:color w:val="666666"/>
      <w:sz w:val="48"/>
      <w:szCs w:val="48"/>
      <w:lang w:eastAsia="en-US"/>
    </w:rPr>
  </w:style>
  <w:style w:type="character" w:styleId="Fontepargpadro1" w:customStyle="1">
    <w:name w:val="Fonte parág. padrão1"/>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5b0156"/>
    <w:pPr>
      <w:tabs>
        <w:tab w:val="clear" w:pos="720"/>
        <w:tab w:val="center" w:pos="4252" w:leader="none"/>
        <w:tab w:val="right" w:pos="8504" w:leader="none"/>
      </w:tabs>
    </w:pPr>
    <w:rPr/>
  </w:style>
  <w:style w:type="paragraph" w:styleId="Rodap">
    <w:name w:val="Footer"/>
    <w:basedOn w:val="Normal"/>
    <w:link w:val="RodapChar"/>
    <w:uiPriority w:val="99"/>
    <w:unhideWhenUsed/>
    <w:rsid w:val="005b0156"/>
    <w:pPr>
      <w:tabs>
        <w:tab w:val="clear" w:pos="720"/>
        <w:tab w:val="center" w:pos="4252" w:leader="none"/>
        <w:tab w:val="right" w:pos="8504" w:leader="none"/>
      </w:tab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Arial Unicode MS" w:cs="Mangal"/>
      <w:color w:val="auto"/>
      <w:kern w:val="2"/>
      <w:sz w:val="24"/>
      <w:szCs w:val="20"/>
      <w:lang w:eastAsia="zh-CN" w:bidi="hi-IN" w:val="pt-BR"/>
    </w:rPr>
  </w:style>
  <w:style w:type="paragraph" w:styleId="Textbody" w:customStyle="1">
    <w:name w:val="Text body"/>
    <w:basedOn w:val="Standard"/>
    <w:qFormat/>
    <w:pPr>
      <w:spacing w:before="0" w:after="120"/>
    </w:pPr>
    <w:rPr/>
  </w:style>
  <w:style w:type="paragraph" w:styleId="NormalWeb">
    <w:name w:val="Normal (Web)"/>
    <w:basedOn w:val="Standard"/>
    <w:qFormat/>
    <w:pPr/>
    <w:rPr/>
  </w:style>
  <w:style w:type="paragraph" w:styleId="Contedodatabela" w:customStyle="1">
    <w:name w:val="Conteúdo da tabela"/>
    <w:basedOn w:val="Standard"/>
    <w:qFormat/>
    <w:rsid w:val="005c054a"/>
    <w:pPr>
      <w:suppressLineNumbers/>
    </w:pPr>
    <w:rPr>
      <w:szCs w:val="24"/>
    </w:rPr>
  </w:style>
  <w:style w:type="paragraph" w:styleId="BalloonText">
    <w:name w:val="Balloon Text"/>
    <w:basedOn w:val="Normal"/>
    <w:link w:val="TextodebaloChar"/>
    <w:uiPriority w:val="99"/>
    <w:semiHidden/>
    <w:unhideWhenUsed/>
    <w:qFormat/>
    <w:rsid w:val="005c054a"/>
    <w:pPr/>
    <w:rPr>
      <w:rFonts w:ascii="Segoe UI" w:hAnsi="Segoe UI" w:cs="Segoe UI"/>
      <w:sz w:val="18"/>
      <w:szCs w:val="18"/>
    </w:rPr>
  </w:style>
  <w:style w:type="paragraph" w:styleId="Msonormal" w:customStyle="1">
    <w:name w:val="msonormal"/>
    <w:basedOn w:val="Normal"/>
    <w:qFormat/>
    <w:rsid w:val="00666512"/>
    <w:pPr>
      <w:spacing w:beforeAutospacing="1" w:afterAutospacing="1"/>
    </w:pPr>
    <w:rPr>
      <w:rFonts w:ascii="Times New Roman" w:hAnsi="Times New Roman" w:eastAsia="Times New Roman"/>
      <w:lang w:eastAsia="pt-BR"/>
    </w:rPr>
  </w:style>
  <w:style w:type="paragraph" w:styleId="Font5" w:customStyle="1">
    <w:name w:val="font5"/>
    <w:basedOn w:val="Normal"/>
    <w:qFormat/>
    <w:rsid w:val="00666512"/>
    <w:pPr>
      <w:spacing w:beforeAutospacing="1" w:afterAutospacing="1"/>
    </w:pPr>
    <w:rPr>
      <w:rFonts w:ascii="Times New Roman" w:hAnsi="Times New Roman" w:eastAsia="Times New Roman"/>
      <w:color w:val="000000"/>
      <w:sz w:val="22"/>
      <w:szCs w:val="22"/>
      <w:lang w:eastAsia="pt-BR"/>
    </w:rPr>
  </w:style>
  <w:style w:type="paragraph" w:styleId="Xl63" w:customStyle="1">
    <w:name w:val="xl63"/>
    <w:basedOn w:val="Normal"/>
    <w:qFormat/>
    <w:rsid w:val="00666512"/>
    <w:pPr>
      <w:spacing w:beforeAutospacing="1" w:afterAutospacing="1"/>
    </w:pPr>
    <w:rPr>
      <w:rFonts w:ascii="Times New Roman" w:hAnsi="Times New Roman" w:eastAsia="Times New Roman"/>
      <w:lang w:eastAsia="pt-BR"/>
    </w:rPr>
  </w:style>
  <w:style w:type="paragraph" w:styleId="Xl64" w:customStyle="1">
    <w:name w:val="xl64"/>
    <w:basedOn w:val="Normal"/>
    <w:qFormat/>
    <w:rsid w:val="00666512"/>
    <w:pPr>
      <w:spacing w:beforeAutospacing="1" w:afterAutospacing="1"/>
      <w:jc w:val="center"/>
    </w:pPr>
    <w:rPr>
      <w:rFonts w:ascii="Times New Roman" w:hAnsi="Times New Roman" w:eastAsia="Times New Roman"/>
      <w:lang w:eastAsia="pt-BR"/>
    </w:rPr>
  </w:style>
  <w:style w:type="paragraph" w:styleId="Xl65" w:customStyle="1">
    <w:name w:val="xl65"/>
    <w:basedOn w:val="Normal"/>
    <w:qFormat/>
    <w:rsid w:val="00666512"/>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eastAsia="Times New Roman"/>
      <w:color w:val="000000"/>
      <w:lang w:eastAsia="pt-BR"/>
    </w:rPr>
  </w:style>
  <w:style w:type="paragraph" w:styleId="Xl66" w:customStyle="1">
    <w:name w:val="xl66"/>
    <w:basedOn w:val="Normal"/>
    <w:qFormat/>
    <w:rsid w:val="00666512"/>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eastAsia="Times New Roman"/>
      <w:b/>
      <w:bCs/>
      <w:color w:val="000000"/>
      <w:lang w:eastAsia="pt-BR"/>
    </w:rPr>
  </w:style>
  <w:style w:type="paragraph" w:styleId="Xl67" w:customStyle="1">
    <w:name w:val="xl67"/>
    <w:basedOn w:val="Normal"/>
    <w:qFormat/>
    <w:rsid w:val="00666512"/>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w:hAnsi="Times New Roman" w:eastAsia="Times New Roman"/>
      <w:lang w:eastAsia="pt-BR"/>
    </w:rPr>
  </w:style>
  <w:style w:type="paragraph" w:styleId="Xl68" w:customStyle="1">
    <w:name w:val="xl68"/>
    <w:basedOn w:val="Normal"/>
    <w:qFormat/>
    <w:rsid w:val="00666512"/>
    <w:pPr>
      <w:pBdr>
        <w:top w:val="single" w:sz="4" w:space="0" w:color="000000"/>
        <w:left w:val="single" w:sz="4" w:space="0" w:color="000000"/>
        <w:bottom w:val="single" w:sz="4" w:space="0" w:color="000000"/>
        <w:right w:val="single" w:sz="4" w:space="0" w:color="000000"/>
      </w:pBdr>
      <w:shd w:val="clear" w:color="000000" w:fill="D0CECE"/>
      <w:spacing w:beforeAutospacing="1" w:afterAutospacing="1"/>
      <w:jc w:val="center"/>
    </w:pPr>
    <w:rPr>
      <w:rFonts w:ascii="Times New Roman" w:hAnsi="Times New Roman" w:eastAsia="Times New Roman"/>
      <w:b/>
      <w:bCs/>
      <w:lang w:eastAsia="pt-BR"/>
    </w:rPr>
  </w:style>
  <w:style w:type="paragraph" w:styleId="Xl69" w:customStyle="1">
    <w:name w:val="xl69"/>
    <w:basedOn w:val="Normal"/>
    <w:qFormat/>
    <w:rsid w:val="00666512"/>
    <w:pPr>
      <w:pBdr>
        <w:top w:val="single" w:sz="4" w:space="0" w:color="000000"/>
        <w:left w:val="single" w:sz="4" w:space="0" w:color="000000"/>
        <w:bottom w:val="single" w:sz="4" w:space="0" w:color="000000"/>
        <w:right w:val="single" w:sz="4" w:space="0" w:color="000000"/>
      </w:pBdr>
      <w:shd w:val="clear" w:color="000000" w:fill="D0CECE"/>
      <w:spacing w:beforeAutospacing="1" w:afterAutospacing="1"/>
      <w:jc w:val="center"/>
      <w:textAlignment w:val="center"/>
    </w:pPr>
    <w:rPr>
      <w:rFonts w:ascii="Times New Roman" w:hAnsi="Times New Roman" w:eastAsia="Times New Roman"/>
      <w:b/>
      <w:bCs/>
      <w:lang w:eastAsia="pt-BR"/>
    </w:rPr>
  </w:style>
  <w:style w:type="paragraph" w:styleId="Subttulo">
    <w:name w:val="Subtitle"/>
    <w:basedOn w:val="Normal"/>
    <w:next w:val="Normal"/>
    <w:link w:val="SubttuloChar"/>
    <w:qFormat/>
    <w:rsid w:val="003e29e3"/>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3e29e3"/>
    <w:pPr>
      <w:spacing w:before="0" w:after="0"/>
      <w:ind w:left="720" w:hanging="0"/>
      <w:contextualSpacing/>
    </w:pPr>
    <w:rPr>
      <w:rFonts w:cs="Calibri"/>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397a8c"/>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rsid w:val="003e29e3"/>
    <w:rPr>
      <w:szCs w:val="24"/>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Application>LibreOffice/7.4.7.2$Windows_X86_64 LibreOffice_project/723314e595e8007d3cf785c16538505a1c878ca5</Application>
  <AppVersion>15.0000</AppVersion>
  <Pages>25</Pages>
  <Words>8856</Words>
  <Characters>49551</Characters>
  <CharactersWithSpaces>57395</CharactersWithSpaces>
  <Paragraphs>1063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2023-05-17T14:52:00Z</dcterms:created>
  <dc:creator>Microsoft Office User</dc:creator>
  <dc:description/>
  <dc:language>pt-BR</dc:language>
  <cp:lastModifiedBy>Beatriz Ribeiro Fernandes</cp:lastModifiedBy>
  <cp:lastPrinted>2021-05-13T16:21:00Z</cp:lastPrinted>
  <dcterms:modified xsi:type="dcterms:W3CDTF">2023-07-14T17:03:00Z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